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B40E57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 xml:space="preserve">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28350</w:t>
      </w:r>
      <w:proofErr w:type="gramEnd"/>
    </w:p>
    <w:p w:rsidR="00B40E57" w:rsidRDefault="00B40E5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E52BA" w:rsidRPr="00D11159" w:rsidRDefault="00D11159" w:rsidP="00D11159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11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KANUN</w:t>
      </w:r>
    </w:p>
    <w:p w:rsidR="007E52BA" w:rsidRDefault="007E52B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1159" w:rsidRPr="00D11159" w:rsidRDefault="00D11159" w:rsidP="00D1115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E KANUNLARINDA YER ALAN BAZI H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 KANUN VE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br/>
        <w:t>KANUN H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NDE KARARNAMELERE EKLENMES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br/>
        <w:t>DA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R KANUN</w:t>
      </w:r>
    </w:p>
    <w:p w:rsidR="00D11159" w:rsidRPr="00D11159" w:rsidRDefault="00D11159" w:rsidP="00D11159">
      <w:pPr>
        <w:tabs>
          <w:tab w:val="left" w:pos="566"/>
          <w:tab w:val="right" w:pos="8080"/>
        </w:tabs>
        <w:spacing w:before="113" w:after="113" w:line="240" w:lineRule="exact"/>
        <w:ind w:firstLine="567"/>
        <w:jc w:val="both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Kanun No. 6338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ab/>
      </w:r>
      <w:r w:rsidRPr="00D11159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 xml:space="preserve">Kabul Tarihi: </w:t>
      </w:r>
      <w:proofErr w:type="gramStart"/>
      <w:r w:rsidRPr="00D11159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29/6/2012</w:t>
      </w:r>
      <w:proofErr w:type="gramEnd"/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5/1/1961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237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 Kanununun 10 uncu maddesine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Kuvvetleri (Jandarma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hil), Emniyet Genel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kler Muhafaza Genel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 kurum,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dernek ve vak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flarca hibe edilecek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tlar,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kanununa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(T)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aretli cetvelde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sterilmesine gerek bulunmaks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Bakanlar Kurulu karar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edinilebilir.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Emniyet Genel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 ait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tlar,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12/4/2001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4645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Emniyet Genel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 Ait Ara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Gere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Mal ve Malzemenin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Hibe, HEK ve Hurda Durum ve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lemleri ile Hizmet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Dair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evesinde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kanununa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(T)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aretli cetvelde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sterilmelerine gerek bulunmaks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n, cinsi ve adedi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talebi ve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zerine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nacak Bakanlar Kurulu karar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belirlenmek kayd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4/1/2002 tarihli ve 4734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hale Kanununa tabi olmaks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yenileri ile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badele edilebilir. Aradaki fiyat fark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ner sermaye gelirleri, sosyal tesis veya kantin gelirleri ile 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Polis Te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lendirme Vakf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gelirlerinden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Kuvvetlerine (Jandarma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hil) ait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tlar,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30/5/1985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3212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Silahl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Kuvvetler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Fazlas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Mal ve Hizmetlerinin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Hibe, Devir ve Elden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;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Devletler Ad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Yurt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Yurt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recek Yabanc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Personel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evesinde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kanununa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(T)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aretli cetvelde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sterilmelerine gerek bulunmaks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n, cinsi ve adedi Milli Savunma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(Jandarma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in ise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n) talebi ve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zerine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Bakanlar Kurulu karar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belirlenmek kayd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4734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Kanuna tabi olmaks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yenileri ile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badele edilebilir. Aradaki fiyat fark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sosyal tesis veya kantin gelirleri ile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ner sermaye gelirlerinden veya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yoluyla (Jandarma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Jandarma Asayi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Vakf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gelirlerinden)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Kuvvetlerine (Jandarma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hil) ait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tlardan, trafi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tescil tarihi itibar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en az on ya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olanlar,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kanununa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(T)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aretli cetvelde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sterilmelerine gerek bulunmaks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n, cinsi ve adedi, ilgisine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Milli Savunma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karar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yla, 4734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Kanuna tabi olmaks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ve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nacak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az olmamak ve sat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nacak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belirtilen adetleri ge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yenileri ile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badele edilebilir ve aradaki fiyat fark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eden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lanabilir. 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>Bu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krada yer almayan hususlar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3212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237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Vak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f, dernek, sand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k, banka, birlik, firma,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 ve benzeri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veya ki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ilere ait olup bu Kanun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 bulunan kurumlar ile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 kanunla kurulmu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er kamu kurum, kurul,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 kurul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giderleri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(g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hizmetlerinde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tlar hari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) kurum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elerinden hi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14/7/1965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657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Devlet Memurlar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Kanununun 156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ayl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ndan,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nacak vergi ve kanunlar gere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kesintiler indirildikten sonra (Kefalet Sand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kesintileri hari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) kalan 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n,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 ayl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n,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2/9/1983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78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Elemanlar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 Kararnamenin 5 inci maddesi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MADDE 5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–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yeleri hari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bu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 Kararnameye ekli (1)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cetvelde yer alan bo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eleman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ktan veya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nakil suretiyle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labilecek toplam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pta ve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Hekimli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Uzmanl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itimi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ara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revlisi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labilecek atamalar ile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8/4/1929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1416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Ecnebi Memleketlere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nderilecek Talebe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yurt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itim amac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nderilenlerden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eleman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labilecek atamalar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 kanununda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 atama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tabi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yesi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pta ve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Hekimli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Uzmanl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itimi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atanm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revlisi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 kanununda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lastRenderedPageBreak/>
        <w:t>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belirtilen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da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hususlar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ve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zerine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Kurulunca belirlenir ve bo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eleman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retim Kurulunun izni olmad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 atama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13/12/1983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190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Genel Kadro ve Usul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 Kararnamenin 11 inci maddesinin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(d) bendine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22/5/2003 tarihli ve 4857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Kanununun 30 uncu maddesi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eski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atamalar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ibaresi ile birinci 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mleden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eski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atamalar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izleyen 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sonuna kadar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ve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bildirilir.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190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 Kararnamenin ek 7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EK MADDE 7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Bu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 Kararnamenin 2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n; serbest memur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ktan veya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nakil suretiyle yapabilecekleri toplam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kimlik ve savc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meslekleri ile bu meslekten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revlere ve 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pta ve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Hekimli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Uzmanl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itimi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asistan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atamalar,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ma ve Sosyal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Gelir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Sosyal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ran vergi ve sosyal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alanlar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istihdam edilecek yard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atamalar, 657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53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personel atamalar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27/7/1967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926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Silahl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Kuvvetleri Personel Kanunu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veya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ilgili mevzuata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asker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personel atamalar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emniyet hizmetleri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bulunan kadrolara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atamalar, 12/4/1991 tarihli ve 3713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cadele Kanununun ek 1 inci maddesi ve 24/5/1983 tarihli ve 2828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Sosyal Hizmetler Kanununun ek 1 inci maddesi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atamalar ile 24/11/1994 tarihli ve 4046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tirme Uygulamalar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 Kanunun 22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personel nakilleri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 kanununda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 atama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tabi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rlamalara tabi olmaks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atama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ikinci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krada belirtilen kadrolardan 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 kanununda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belirtilen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da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hususlar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u Bakan ve Maliye Bakan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terek teklifi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zerine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bakan onay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belirlenir.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yeniden te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kilatlanan veya yeni kurulan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belirlenen atama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zde onunu ge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memek ve Personel Giderlerini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lama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i tertibindeki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dikkate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nmak suretiyle ilave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tespit etmeye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zerine Bakanlar Kurulu yetkilidir.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657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59 uncu ve 92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maddeleri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labilecek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ktan atamalar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izleyen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 ait ilave atama izin taleplerini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bulunulan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ustos 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sonuna kadar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ve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bildirir.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Kanuna ekli cetvellerde yer alan kamu idareleri ile bu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 Kararnamenin 2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maddesinde belirtilen kamu idare, kurum ve kurulu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 ve pozisyonlar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dolu-bo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bunlarda meydana gelen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ikliklere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kin bilgileri mart, haziran, eyl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ve aral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 aylar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son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nleri itibar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zenleyerek, 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 aylar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izleyen 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yirmisine kadar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bilgi sistemi vas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na bildirirler. 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ca, bu bilgileri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eren cetveller, Devlet Personel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27/6/1989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375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 Kararnamenin ek 7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657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(B)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krada belirtilen mevzuat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nda, bir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nceki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lda vizeli mevcut pozisyon ve tip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rnekleri yeni bir vize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gerek kalmaks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bulunulan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lda da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lmaya devam olunur. Bu pozisyonlarda bir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nceki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lda istihdam edilen personelden,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bulunulan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lda da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revlerine devam etmeleri uygun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lenlerle, mevcut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cretlerine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bulunulan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mevzuat uyar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art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 ilave edilmek suretiyle yeni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Kanun, uluslararas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ma, Bakanlar Kurulu karar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kurulmas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veya geni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letilmesi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 birimler ile hizmetin gerektirdi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zorunlu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ller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in,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yeni vizeler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nda, bir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nceki mali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meli personel pozisyon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lamaz.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24/11/1994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4046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tirme Uygulamalar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 Kanunun 10 uncu maddesinin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tirme Fonunun nakit fazlas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Fon taraf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ndan Hazine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demeler Muhasebe Birimi hesaplar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 ve genel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enin (B)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aretli cetveline gelir kaydedilir.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tirme Fonundan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herhangi bir fona aktarma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lmaz.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28/3/2002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4749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Kamu Finansman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Bor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netiminin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Kanunun 9 uncu maddesine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Yurt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kaynaklardan hibe olarak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elde edilecek imk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zerine gere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eye gelir veya gelir-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denek-gider kaydetmeye,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kaynaklardan veya uluslararas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antla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malarla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lastRenderedPageBreak/>
        <w:t>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kredi yoluyla gelecek her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it malzemenin navlun ve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mla ilgili vergi ve resimlerinin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denmesi amac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ilgili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elerinde mevcut veya yeni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lacak tertiplere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kaydetmeye ve gereken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lemleri yapmaya, Mill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ihtiya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yabanc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devletlerden asker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 yoluyla veya 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 yollardan fiilen sa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lanacak malzeme ve 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ya bedellerini, genel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enin (B)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aretli cetveline gelir ve 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da bu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elerde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zel tertiplere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ve gider kaydetmeye Maliye Bakan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10/12/2003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Kamu Mal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netimi ve Kontrol Kanununun 15 inci maddesinin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kanununun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zeni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kanununun gider cetvelinin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mleri, analitik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na uygun olarak fonksiyonlar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eklinde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zenlenir. Fonksiyonlar birinci, ikinci,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zeyde alt fonksiyonlara 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lgili mevzuatta giderlere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kin olarak yer alan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ve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deyimleri fonksiyonel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birinci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zeyini,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Kesim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deyimi fonksiyonel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ikinci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zeyini,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Madde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deyimi fonksiyonel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zeyini,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Tertip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deyimi kurumsal, fonksiyonel ve finansman tipi kodlar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zeyleri ile ekonomik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ilk iki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zeyini, bor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demeleri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ilgili hizmet tertibi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deyimi bor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konusu hizmetlerin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ilgili tertipleri ifade eder.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20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na (d) bendinden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(e) bendi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mevcut bentler buna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lgili mevzuat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re,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hizmetin gerektirdi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llerde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nca belirlenen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esaslar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evesinde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ndaki kamu idarelerinin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elerinde yeni tertipler, gelir kodlar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finansman kodlar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25 inci maddesine, ikinci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Mill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Savunma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Jandarma Genel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Sahil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venlik Komutanl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elerinin mal ve hizmet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 giderlerine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kin tertiplerinde yer alan savunma sekt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altyap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, in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a, isk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ve tesisleriyle NATO altyap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gerektirdi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 in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 ve tesisler ve bunlara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kin kamula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rmalar ile stratejik hedef plan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inde yer alan 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 ve hizmetler, Kalk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nma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vizesine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olmay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p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 program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ek yat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 cetvellerinde yer almaz.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31 inci maddesine,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retim Kurulu ile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niversiteler ve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ksek teknoloji enstit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lerinde, harcama yetkilileri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nderme belgesiyle belirlenir. Bu idarelerde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nderme belgesi ile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nderilen birimler harcama birimi, kendisine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nderilen birimin en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neticisi ise harcama yetkilisidir.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deneklerinin ilgili birimlere da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planlanmas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denek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nderme belgesine ba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esaslar Maliye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belirlenir.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51 inci maddesine,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Tahakkuk ettirilecek giderler Devlet muhasebesi kay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ekonomik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rman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zeyini de kapsayacak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5018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79 uncu maddesi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MADDE 79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– 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 mevzuat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ndaki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zere, idare hesaplar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olup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Kanun kapsam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izlenen kamu alacaklar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kalan;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a) Zarur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veya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cbir sebeplerle takip ve tahsil imk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kalmayan,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b) Tahsili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lacak takibat giderlerinin 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 alacak tutar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fazla olaca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lan,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kamu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ndan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sterilen tutarlara kadar olanlar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tlardan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neticiler yetkilidir. (a) bendine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belirlenen tutar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an kamu alacaklar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ndan silinmesi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lenler merkez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netim b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kanununda ayr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ca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sterilir.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3/7/2005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5393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Belediye Kanununun 49 uncu maddesinin be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lan unvanlara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kin hizmetler 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nda kalmak ve o hizmet 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 ihdas edilmi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kadro bulunmamak kayd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kra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evesinde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meli personel istihdam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olan kadro unvanlar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revlerde, 657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(B)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 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ran 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smi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reli olarak 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meli personel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24/11/1994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4046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tirme Uygulamalar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nda Kanunun 2 </w:t>
      </w:r>
      <w:proofErr w:type="spellStart"/>
      <w:r w:rsidRPr="00D1115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 (c) bendi ile ge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ici 23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ve ge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ici 24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maddeleri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20/2/2001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tarihli ve 4628 say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Elektrik Piyasas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Kanununun 14 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maddesinin be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Bu Kanun </w:t>
      </w:r>
      <w:proofErr w:type="gramStart"/>
      <w:r w:rsidRPr="00D11159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D1115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D11159">
        <w:rPr>
          <w:rFonts w:ascii="Times New Roman" w:eastAsia="ヒラギノ明朝 Pro W3" w:hAnsi="Times" w:cs="Times New Roman"/>
          <w:b/>
          <w:sz w:val="18"/>
          <w:szCs w:val="18"/>
        </w:rPr>
        <w:t>– 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Bu Kanun h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mlerini Bakanlar Kurulu y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1115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11159" w:rsidRPr="00D11159" w:rsidRDefault="00D11159" w:rsidP="00D11159">
      <w:pPr>
        <w:tabs>
          <w:tab w:val="left" w:pos="56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D11159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>10/7/2012</w:t>
      </w:r>
      <w:proofErr w:type="gramEnd"/>
    </w:p>
    <w:p w:rsidR="00D11159" w:rsidRDefault="00D1115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1115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11520"/>
    <w:rsid w:val="00430027"/>
    <w:rsid w:val="0044301A"/>
    <w:rsid w:val="004756C6"/>
    <w:rsid w:val="004A5F4C"/>
    <w:rsid w:val="005048DF"/>
    <w:rsid w:val="005245D5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707B8"/>
    <w:rsid w:val="007735F2"/>
    <w:rsid w:val="007D3A13"/>
    <w:rsid w:val="007D5AEE"/>
    <w:rsid w:val="007E52BA"/>
    <w:rsid w:val="007F3656"/>
    <w:rsid w:val="00811B17"/>
    <w:rsid w:val="00817A73"/>
    <w:rsid w:val="008323BF"/>
    <w:rsid w:val="00841EEF"/>
    <w:rsid w:val="008628D5"/>
    <w:rsid w:val="008A48A0"/>
    <w:rsid w:val="008B2A9B"/>
    <w:rsid w:val="008C1EF5"/>
    <w:rsid w:val="008E4535"/>
    <w:rsid w:val="00910ABC"/>
    <w:rsid w:val="00921161"/>
    <w:rsid w:val="00935012"/>
    <w:rsid w:val="009729EE"/>
    <w:rsid w:val="009950D3"/>
    <w:rsid w:val="009A3F85"/>
    <w:rsid w:val="009A6044"/>
    <w:rsid w:val="009B68B7"/>
    <w:rsid w:val="009C7909"/>
    <w:rsid w:val="009F4A7B"/>
    <w:rsid w:val="00A36600"/>
    <w:rsid w:val="00A77DDB"/>
    <w:rsid w:val="00A8408E"/>
    <w:rsid w:val="00AD42C3"/>
    <w:rsid w:val="00AF0ED2"/>
    <w:rsid w:val="00AF7B9D"/>
    <w:rsid w:val="00B0678C"/>
    <w:rsid w:val="00B14E0E"/>
    <w:rsid w:val="00B40E57"/>
    <w:rsid w:val="00B861C0"/>
    <w:rsid w:val="00BB5536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11159"/>
    <w:rsid w:val="00D20AC6"/>
    <w:rsid w:val="00D439D6"/>
    <w:rsid w:val="00D60BF5"/>
    <w:rsid w:val="00D65D15"/>
    <w:rsid w:val="00D736B6"/>
    <w:rsid w:val="00D76830"/>
    <w:rsid w:val="00D82709"/>
    <w:rsid w:val="00D83281"/>
    <w:rsid w:val="00DB51D0"/>
    <w:rsid w:val="00DC3BCE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2405</Words>
  <Characters>13714</Characters>
  <Application>Microsoft Office Word</Application>
  <DocSecurity>0</DocSecurity>
  <Lines>114</Lines>
  <Paragraphs>32</Paragraphs>
  <ScaleCrop>false</ScaleCrop>
  <Company>TURMOB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113</cp:revision>
  <dcterms:created xsi:type="dcterms:W3CDTF">2012-06-01T06:02:00Z</dcterms:created>
  <dcterms:modified xsi:type="dcterms:W3CDTF">2012-07-11T05:35:00Z</dcterms:modified>
</cp:coreProperties>
</file>