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746DB5" w:rsidRDefault="005204A6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1E3552" w:rsidRPr="00746DB5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553DD2" w:rsidRPr="00746DB5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746DB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</w:t>
      </w:r>
      <w:r w:rsidR="001E3552" w:rsidRPr="00746DB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</w:t>
      </w:r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proofErr w:type="gramStart"/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746DB5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6D1349" w:rsidRPr="00746DB5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95</w:t>
      </w:r>
      <w:proofErr w:type="gramEnd"/>
    </w:p>
    <w:p w:rsidR="008C1EF5" w:rsidRPr="00746DB5" w:rsidRDefault="008C1EF5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46DB5" w:rsidRDefault="00746DB5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5204A6" w:rsidRDefault="005204A6" w:rsidP="005204A6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5204A6">
        <w:rPr>
          <w:rFonts w:ascii="Times New Roman" w:eastAsia="ヒラギノ明朝 Pro W3" w:hAnsi="Times" w:cs="Times New Roman"/>
          <w:sz w:val="18"/>
          <w:szCs w:val="18"/>
          <w:u w:val="single"/>
        </w:rPr>
        <w:t>Ba</w:t>
      </w:r>
      <w:r w:rsidRPr="005204A6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  <w:u w:val="single"/>
        </w:rPr>
        <w:t>bakanl</w:t>
      </w:r>
      <w:r w:rsidRPr="005204A6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  <w:u w:val="single"/>
        </w:rPr>
        <w:t>k (Hazine M</w:t>
      </w:r>
      <w:r w:rsidRPr="005204A6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  <w:u w:val="single"/>
        </w:rPr>
        <w:t>ste</w:t>
      </w:r>
      <w:r w:rsidRPr="005204A6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  <w:u w:val="single"/>
        </w:rPr>
        <w:t>arl</w:t>
      </w:r>
      <w:r w:rsidRPr="005204A6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5204A6">
        <w:rPr>
          <w:rFonts w:ascii="Times New Roman" w:eastAsia="ヒラギノ明朝 Pro W3" w:hAnsi="Times" w:cs="Times New Roman"/>
          <w:sz w:val="18"/>
          <w:szCs w:val="18"/>
          <w:u w:val="single"/>
        </w:rPr>
        <w:t>) ile Sa</w:t>
      </w:r>
      <w:r w:rsidRPr="005204A6">
        <w:rPr>
          <w:rFonts w:ascii="Times New Roman" w:eastAsia="ヒラギノ明朝 Pro W3" w:hAnsi="Times" w:cs="Times New Roman"/>
          <w:sz w:val="18"/>
          <w:szCs w:val="18"/>
          <w:u w:val="single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5204A6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5204A6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5204A6" w:rsidRPr="005204A6" w:rsidRDefault="005204A6" w:rsidP="005204A6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TIBB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 K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 UYGULAMAYA 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N ZORUNLU MAL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 SORUMLULUK</w:t>
      </w:r>
    </w:p>
    <w:p w:rsidR="005204A6" w:rsidRPr="005204A6" w:rsidRDefault="005204A6" w:rsidP="005204A6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GORTASINDA KURUM KATKISINA 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N USUL VE ESASLARA</w:t>
      </w:r>
    </w:p>
    <w:p w:rsidR="005204A6" w:rsidRPr="005204A6" w:rsidRDefault="005204A6" w:rsidP="005204A6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DA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 (TEBL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 NO: 2010/1)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’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DE DE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5204A6" w:rsidRPr="005204A6" w:rsidRDefault="005204A6" w:rsidP="005204A6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5204A6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5204A6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5204A6">
        <w:rPr>
          <w:rFonts w:ascii="Times New Roman" w:eastAsia="ヒラギノ明朝 Pro W3" w:hAnsi="Times" w:cs="Times New Roman"/>
          <w:sz w:val="18"/>
          <w:szCs w:val="18"/>
        </w:rPr>
        <w:t>21/7/2010</w:t>
      </w:r>
      <w:proofErr w:type="gramEnd"/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tarihli ve 27648 say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mlanan 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bbi 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Uygulamaya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kin Zorunlu Mali Sorumluluk Sigortas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 Kurum Katk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kin Usul ve Esaslara Dair Tebli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(Tebli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No: 2010/1)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in ekinde yer alan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bbi 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Uygulamaya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kin Zorunlu Mali Sorumluluk Sigortas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Genel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A. S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GORTANIN KAPSAMI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A.1. Sigortan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n Konusu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Bu sigorta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mesi, 1219 say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Kanunun Ek 12 </w:t>
      </w:r>
      <w:proofErr w:type="spellStart"/>
      <w:r w:rsidRPr="005204A6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maddesi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evesinde, serbest ya da kamu veya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zel sa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 kurum ve kurulu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an tabipler, di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tabipleri ve 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pta uzmanl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 mevzuat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 uzman olanlar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poli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ede belirtilen mesleki faaliyeti ifa ederken,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me tarihinden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nceki on 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nemdeki veya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inde mesleki faaliyeti nedeniyle verdi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 zararlara ba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olarak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inde kendisine yap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lan tazminat taleplerine, bu taleple ba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yarg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lama giderleri ile 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kmolunacak faize ve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aleyhine ileri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len tazminat talebine ili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kin makul giderlere kar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poli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ede belirlenen limitler </w:t>
      </w:r>
      <w:proofErr w:type="gramStart"/>
      <w:r w:rsidRPr="005204A6">
        <w:rPr>
          <w:rFonts w:ascii="Times New Roman" w:eastAsia="ヒラギノ明朝 Pro W3" w:hAnsi="Times" w:cs="Times New Roman"/>
          <w:sz w:val="18"/>
          <w:szCs w:val="18"/>
        </w:rPr>
        <w:t>dahilinde</w:t>
      </w:r>
      <w:proofErr w:type="gramEnd"/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teminat sa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lar. Ancak on 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nemin ba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30 Temmuz 2009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u ge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emez ve bir aydan fazla sigortas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 kal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nan 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nemlerde meydana gelen olaylara ba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olarak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nemlerde yap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lan ihbarlar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 sigorta korumas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yoktur.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mesleki faaliyete son vermesi halinde, birinci paragraftaki teminata ek olarak, son sigorta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mesi 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nemindeki mesleki faaliyetinden dolay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menin biti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tarihinden iki 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 sonras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na kadar ortaya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kabilecek talepler de teminat </w:t>
      </w:r>
      <w:proofErr w:type="gramStart"/>
      <w:r w:rsidRPr="005204A6">
        <w:rPr>
          <w:rFonts w:ascii="Times New Roman" w:eastAsia="ヒラギノ明朝 Pro W3" w:hAnsi="Times" w:cs="Times New Roman"/>
          <w:sz w:val="18"/>
          <w:szCs w:val="18"/>
        </w:rPr>
        <w:t>dahilindedir</w:t>
      </w:r>
      <w:proofErr w:type="gramEnd"/>
      <w:r w:rsidRPr="005204A6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A.2. Sigortan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n Co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rafi S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Bu sigorta,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rkiye Cumhuriyeti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inde ifa etti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 mesleki faaliyetler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erlidir.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A.3. Teminat D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ışı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nda Kalan Haller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daki 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ller teminat kapsam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a)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n, poli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ede belirlenmi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hukuk kurallar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veya etik kurallar ile tespit edilen mesleki faaliyeti 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ndaki faaliyetlerinden kaynaklanan tazminat talepleri,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b) Mesleki faaliyetin ifas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ndan kasten sebep olunan her 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 olay ile davran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c)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ilerin, poli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ede belirtilen mesleki faaliyeti ifa ederken alkol, uyu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turucu ya da narkotik maddelerin tesiri alt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 bulunmas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sonucunda meydana gelen olaylar,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nsani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revin yerine getirilmesi hari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,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n, sigorta primine destek veren kurulu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sorumluluk alan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ndaki faaliyetlerinden kaynaklanan tazminat talepleri,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dar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ve adl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para cezalar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5204A6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her 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r ceza ve cezai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artlar,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e) Her 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deneyden kaynaklanan tazminat talepleri.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A.4. Sigortan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n Ba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lang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 ve Sonu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Sigorta, poli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ede ba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lama ve sona erme tarihleri olarak yaz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lan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nlerde, aksi kararla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a, 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rkiye saati ile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len saat 12.00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de ba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lar ve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len saat 12.00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de sona erer.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B. ZARAR VE TAZM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NAT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B.1. Rizikonun Ger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ekle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mesi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mesinin konusuna ili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kin olarak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kendisine tazminat talebinde bulunuldu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unu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rendi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 ya da zarar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renin do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rudan do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ruya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ya ba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vurdu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u anda riziko ger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B.2. Rizikoya 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kin Olarak Sigorta Ettirenin Y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kleri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 ettiren, 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daki hususlar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yerine getirmekle 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a) Haberdar oldu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u andan itibaren rizikonun ger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ini derhal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ya bildirmek,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b)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sorumlulu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unu gerektirecek olaylar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, on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inde,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ya bildirmek,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c) Sigorta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mesi yokmu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gibi, </w:t>
      </w:r>
      <w:proofErr w:type="gramStart"/>
      <w:r w:rsidRPr="005204A6">
        <w:rPr>
          <w:rFonts w:ascii="Times New Roman" w:eastAsia="ヒラギノ明朝 Pro W3" w:hAnsi="Times" w:cs="Times New Roman"/>
          <w:sz w:val="18"/>
          <w:szCs w:val="18"/>
        </w:rPr>
        <w:t>imkanlar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nde zarar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nlenmesi, azalt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ve artmas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nlenmesi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 gerekli her 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nlemi almak ve bu ama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ndan verilecek mesleki faaliyet 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ndaki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kla ilgili makul talimatlara uymak,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)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n talebi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zerine, olay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ve zarar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nedeni ile hangi 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l ve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artlar alt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inin ve sonu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tespitine; tazminat 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ve miktar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proofErr w:type="spellStart"/>
      <w:r w:rsidRPr="005204A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cu</w:t>
      </w:r>
      <w:proofErr w:type="spellEnd"/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na yarayacak, elde edilmesi m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bilgi ve belgeleri makul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rede vermek,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lastRenderedPageBreak/>
        <w:t>d) Zarardan dolay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, dava yolu ile veya ba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ka yollarla bir tazminat talebi kar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 kald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veya aleyhine cezai kovu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turmaya ge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ildi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llerde, durumdan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derhal haberdar etmek ve tazminat talebine ve cezai kovu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turmaya ili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kin olarak alm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u ihbarname, davetiye ve benzeri 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 belgeleri gecikmeksizin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ya vermek,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e) Sigorta konusu ile ilgili ba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ka sigorta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mesi varsa bunlar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ya bildirmek.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B.3. Rizikoya 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kin Olarak Sigortac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n Hak, Bor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 ve Y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kleri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B.</w:t>
      </w:r>
      <w:proofErr w:type="gramStart"/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3.1</w:t>
      </w:r>
      <w:proofErr w:type="gramEnd"/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. Giderlerin 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denmesi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, zarar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nleme, azaltma, artmas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na engel olma ve </w:t>
      </w:r>
      <w:proofErr w:type="spellStart"/>
      <w:r w:rsidRPr="005204A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cu</w:t>
      </w:r>
      <w:proofErr w:type="spellEnd"/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haklar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korunmas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nelik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yapt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makul giderleri, bunlar faydas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 kalm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olsalar bile, sigorta tazminat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olarak tazmin eder.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, sigorta ettirenin istemi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zerine giderlerin kar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yla gerekli tutar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avans olarak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demek zorundad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B.</w:t>
      </w:r>
      <w:proofErr w:type="gramStart"/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3.2</w:t>
      </w:r>
      <w:proofErr w:type="gramEnd"/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. Tazminata 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kin Avans Verilmesi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,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n talebi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zerine, tazminat talebine ili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kin giderler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 avans vermek zorundad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B.</w:t>
      </w:r>
      <w:proofErr w:type="gramStart"/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3.3</w:t>
      </w:r>
      <w:proofErr w:type="gramEnd"/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. Tazminat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denmesi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Rizikonun ger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mesi 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linde,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zel durumlar hari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zere, hangi belgelerin istenilece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 poli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 ekinde 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 ve anla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ekilde yer almak zorundad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 tazminat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, rizikonun ger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mesini m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teakip ve rizikoyla ilgili belgelerin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ya verilmesinden sonra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edimine ili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kin ara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bitince ve her 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lde rizikonun ger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kin bildirimin yap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proofErr w:type="spellStart"/>
      <w:r w:rsidRPr="005204A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rkbe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proofErr w:type="spellEnd"/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sonra muaccel olur.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ya 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klenemeyen bir kusurdan dolay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inceleme gecikmi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se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lemez.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Ara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rmalar, rizikonun ger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kin bildirimin yap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ndan ya da zarar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renin do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rudan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ya ba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vurmas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layarak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inde tamamlanamam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sa;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, tazminattan mahsup edilmek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zere, taraflar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mutabakat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veya anla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 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linde mahkemece yapt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gramStart"/>
      <w:r w:rsidRPr="005204A6">
        <w:rPr>
          <w:rFonts w:ascii="Times New Roman" w:eastAsia="ヒラギノ明朝 Pro W3" w:hAnsi="Times" w:cs="Times New Roman"/>
          <w:sz w:val="18"/>
          <w:szCs w:val="18"/>
        </w:rPr>
        <w:t>ekspertiz</w:t>
      </w:r>
      <w:proofErr w:type="gramEnd"/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sonucuna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ratle tespit edilecek hasar miktar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en az 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zde ellisini avans olarak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der.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Bor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muaccel olunca,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ihtara gerek kalmaks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temerr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de 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temerr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t faizi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deme borcundan kurtulmas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ren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 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mleri ge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ersizdir.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B.</w:t>
      </w:r>
      <w:proofErr w:type="gramStart"/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3.4</w:t>
      </w:r>
      <w:proofErr w:type="gramEnd"/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. Sigortal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ya Yard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5204A6">
        <w:rPr>
          <w:rFonts w:ascii="Times New Roman" w:eastAsia="ヒラギノ明朝 Pro W3" w:hAnsi="Times" w:cs="Times New Roman"/>
          <w:sz w:val="18"/>
          <w:szCs w:val="18"/>
        </w:rPr>
        <w:t>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,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ndan usul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ne uygun olarak bildirimde bulunulmas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ya da zarar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ren taraf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ndan kendisine do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rudan talepte bulunulmas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ndan itibaren be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inde, zarara 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rayan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istemleriyle ilgili olarak ve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ad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na, fakat sorumluluk ve 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m giderler kendisine ait olmak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zere, gerekli hukuki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lemlerin ger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tirilip, kararlar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ve ayr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ca savunmaya yard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mda bulunmay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stlenip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stlenmeyece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ini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ya bildirir. </w:t>
      </w:r>
      <w:proofErr w:type="gramEnd"/>
      <w:r w:rsidRPr="005204A6">
        <w:rPr>
          <w:rFonts w:ascii="Times New Roman" w:eastAsia="ヒラギノ明朝 Pro W3" w:hAnsi="Times" w:cs="Times New Roman"/>
          <w:sz w:val="18"/>
          <w:szCs w:val="18"/>
        </w:rPr>
        <w:t>Bu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renin sonuna kadar yap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zorunlu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lemleri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r.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yapt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lemlerde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hak ve menfaatlerini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zetir.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bildirimde bulunmam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sa,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aleyhine kesinle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en tazminat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der. Ancak,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almadan yapt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sulh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mesi, bildirimden itibaren </w:t>
      </w:r>
      <w:proofErr w:type="spellStart"/>
      <w:r w:rsidRPr="005204A6">
        <w:rPr>
          <w:rFonts w:ascii="Times New Roman" w:eastAsia="ヒラギノ明朝 Pro W3" w:hAnsi="Times" w:cs="Times New Roman"/>
          <w:sz w:val="18"/>
          <w:szCs w:val="18"/>
        </w:rPr>
        <w:t>onbe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proofErr w:type="spellEnd"/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inde onay verilmemi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se,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ya kar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ersizdir;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hakl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olmayan sebeplerle </w:t>
      </w:r>
      <w:proofErr w:type="spellStart"/>
      <w:r w:rsidRPr="005204A6">
        <w:rPr>
          <w:rFonts w:ascii="Times New Roman" w:eastAsia="ヒラギノ明朝 Pro W3" w:hAnsi="Times" w:cs="Times New Roman"/>
          <w:sz w:val="18"/>
          <w:szCs w:val="18"/>
        </w:rPr>
        <w:t>sulhe</w:t>
      </w:r>
      <w:proofErr w:type="spellEnd"/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onay vermekten ka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namaz.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B.</w:t>
      </w:r>
      <w:proofErr w:type="gramStart"/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3.5</w:t>
      </w:r>
      <w:proofErr w:type="gramEnd"/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. Sigortac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n Zarar G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renden Bilgi Alma Hakk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, zarara sebep olan olay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ve zarar miktar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belirlenmesi amac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yla, zarar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renden bilgi isteyebilir. Zarar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ren, sa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ihtimali bulunan ve istenilmesi hakl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lebilecek ilgili 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 belgeleri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ya vermek zorundad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r. Zarar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renin bu zorunlulu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a uymamas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linde, durumun zarar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rene yaz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bildirilmi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yla,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sorumlulu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u, zorunluluk yerine getirilmi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olsayd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demek zorunda kalaca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miktarla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B.</w:t>
      </w:r>
      <w:proofErr w:type="gramStart"/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3.6</w:t>
      </w:r>
      <w:proofErr w:type="gramEnd"/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. Zarar G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renle 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kide 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fa Y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üğü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,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ya kar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ifa borcundan tamamen veya 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smen kurtulmu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olsa da, zarar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ren bak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ndan ifa borcu, zorunlu sigorta miktar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na kadar devam eder.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 ili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kisinin sona ermesi, zarar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rene kar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ancak,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menin sona erdi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ini veya erece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ini yetkili mercilere bildirmesinden bir ay sonra 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 do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urur.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Zarar, sosyal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venlik kurumlar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ndan kar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de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sorumlulu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u sona erer.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B.4. </w:t>
      </w:r>
      <w:proofErr w:type="spellStart"/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Halefiyet</w:t>
      </w:r>
      <w:proofErr w:type="spellEnd"/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dedi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 tazminat tutar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nca, hukuken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yerine ge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B.5. Do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rudan Dava Hakk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Zarar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ren, 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rad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zarar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sigorta bedeline kadar olan 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tazminini, sigorta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mesi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erli zamana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inde kalmak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yla, do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rudan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dan isteyebilir.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C. 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Şİ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TL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 H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C.1. Sigorta Priminin 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denmesi ve Sigortac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n Sorumlulu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unun Ba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lamas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sorumlulu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u, primin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denmesi ile ba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lar. Aksi kararla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a, primin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denmemesi 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linde, poli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 teslim edilmi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olsa dahi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sorumlulu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u ba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lamaz ve bu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art poli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eye yaz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C.2. Sigortal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 ve Sigorta Ettirenin S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me Yap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ld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ığı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rada Beyan Y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üğü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 ettiren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menin yap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 bildi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 veya bilmesi gereken 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nemli hususlar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ya bildirmekle 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r.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ya bildirilmeyen, eksik veya yanl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bildirilen hususlar,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menin de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ik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artlarda yap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gerektirecek nitelikte ise,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nemli kabul edilir.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ndan yaz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veya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olarak sorulan hususlar, aksi ispat edilinceye kadar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nemli say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lastRenderedPageBreak/>
        <w:t>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sigorta ettirene, cevaplamas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 sorular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eren bir liste vermi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se, sunulan listede yer alan sorular 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 kalan hususlara ili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kin olarak sigorta ettirene hi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bir sorumluluk 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klenemez; </w:t>
      </w:r>
      <w:proofErr w:type="gramStart"/>
      <w:r w:rsidRPr="005204A6">
        <w:rPr>
          <w:rFonts w:ascii="Times New Roman" w:eastAsia="ヒラギノ明朝 Pro W3" w:hAnsi="Times" w:cs="Times New Roman"/>
          <w:sz w:val="18"/>
          <w:szCs w:val="18"/>
        </w:rPr>
        <w:t>me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erki,</w:t>
      </w:r>
      <w:proofErr w:type="gramEnd"/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sigorta ettiren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nemli bir hususu 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niyetle saklam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olsun.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nemli olan bir husus bildirilmemi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veya yanl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bildirilmi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u takdirde,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5204A6">
        <w:rPr>
          <w:rFonts w:ascii="Times New Roman" w:eastAsia="ヒラギノ明朝 Pro W3" w:hAnsi="Times" w:cs="Times New Roman"/>
          <w:sz w:val="18"/>
          <w:szCs w:val="18"/>
        </w:rPr>
        <w:t>onbe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proofErr w:type="spellEnd"/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inde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meden cayabilir veya prim fark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isteyebilir.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stenilen prim fark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on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inde kabul edilmemesi 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linde,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meden cay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kabul olunur.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nemli hususun sigorta ettirenin kusuru sonucu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renilememi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veya sigorta ettiren taraf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nemli say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durumu de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tirmez. Ancak, bildirilmeyen veya yanl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bildirilen bir hususun ya da olgunun ger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ek durumu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ndan biliniyorsa,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beyan 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ihlal edilmi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unu ileri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rerek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meden cayamaz.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spat 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sigorta ettirene aittir.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, cayma hakk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a veya z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mnen vazge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se veya caymaya yol 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an ihlale kendisi sebebiyet vermi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se ya da sorular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ndan baz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cevaps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 b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lde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meyi yapm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sa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meden cayamaz.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Cayma 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linde, sigorta ettiren kas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ise,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rizikoyu ta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reye ait primlere hak kazan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C.3. S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menin Devam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ras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ndaki Beyan Y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üğü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 ettiren,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menin yap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ndan sonra,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izni olmadan rizikoyu veya mevcut durumu 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rla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rarak tazminat tutar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artmas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etkileyici davran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lemlerde bulunamaz.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 ettiren veya onun izniyle ba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, rizikonun ger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 ihtimalini art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veya mevcut durumu 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rla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lemlerde bulunursa yahut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 yap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rken 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a riziko 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rla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olarak kabul edilmi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bulunan hususlardan biri ger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irse derh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l; bu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lemler bilgisi 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sa, bu hususu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rendi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 tarihten itibaren en ge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on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inde durumu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ya bildirir.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menin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inde, rizikonun ger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mesi veya mevcut durumun 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rla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ihtimalini ya da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mede riziko 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rla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olarak kabul edilebilecek olaylar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varl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rendi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 takdirde, bu tarihten itibaren bir ay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inde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meyi feshedebilir veya prim fark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isteyebilir. Fark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on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inde kabul edilmemesi 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linde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 feshedilmi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proofErr w:type="gramStart"/>
      <w:r w:rsidRPr="005204A6">
        <w:rPr>
          <w:rFonts w:ascii="Times New Roman" w:eastAsia="ヒラギノ明朝 Pro W3" w:hAnsi="Times" w:cs="Times New Roman"/>
          <w:sz w:val="18"/>
          <w:szCs w:val="18"/>
        </w:rPr>
        <w:t>Me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er ki</w:t>
      </w:r>
      <w:proofErr w:type="gramEnd"/>
      <w:r w:rsidRPr="005204A6">
        <w:rPr>
          <w:rFonts w:ascii="Times New Roman" w:eastAsia="ヒラギノ明朝 Pro W3" w:hAnsi="Times" w:cs="Times New Roman"/>
          <w:sz w:val="18"/>
          <w:szCs w:val="18"/>
        </w:rPr>
        <w:t>, rizikonun artmas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na,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menfaatiyle ili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kili bir husus ya da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sorumlu oldu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u bir olay veya insan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bir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revin yerine getirilmesi sebep olmas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, rizikonun ger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mesinden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nce, sigorta ettirenin beyan 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kas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olarak ihlal etti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ini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renince, birinci f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kraya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meyi feshetse bile, de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 meydana geldi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 sigorta 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nemine ait prime hak kazan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C.4. Sigorta Ettirenin ve Sigortal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n Durumu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 ettirenin bilgisine ve davran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na hukuki sonu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lanan durumlarda, sigortadan haberi olmas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ile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da lehtar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bilgisi ve davran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da dikkate 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C.5. Tebli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hbarlar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n ve sigorta ettirenin bildirimleri, sigorta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irketinin merkezine veya sigorta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mesi yapan ya da yap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na arac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 eden acenteye yap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bildirimleri de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ya kar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lacaksa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n, sigorta ettirene kar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lacaksa sigorta ettirenin son bildirilen adresine noter eliyle veya taahh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mektupla yap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Taraflara imza kar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elden verilen mektup veya telgrafla yap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lan bildirimler de taahh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mektup 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ndedir.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venli elektronik imza kullan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larak elektronik ortamda yap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lan ve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ya,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ya ve sigorta ettirene ula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kan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tlanabilen bildirimler de ge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erli say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C.6. Sigorta S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mesinin Son Bulmas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mesi; poli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ede tan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mlanan mesleki faaliyete son verilmesi,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iflas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menin feshi ve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meden cay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lma 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llerinde son bulur.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Mevzuattan kaynaklanan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zel 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mler sakl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yla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menin son bulmas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durumunda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lemeyen g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nlere ait prim sigorta ettirene iade olunur.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C.7. 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zel Fesih Nedenleri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 ettiren,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sorumlulu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u ba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lamadan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nce, kararla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primin yar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deyerek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meden cayabilir.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n, </w:t>
      </w:r>
      <w:proofErr w:type="gramStart"/>
      <w:r w:rsidRPr="005204A6">
        <w:rPr>
          <w:rFonts w:ascii="Times New Roman" w:eastAsia="ヒラギノ明朝 Pro W3" w:hAnsi="Times" w:cs="Times New Roman"/>
          <w:sz w:val="18"/>
          <w:szCs w:val="18"/>
        </w:rPr>
        <w:t>konkordato</w:t>
      </w:r>
      <w:proofErr w:type="gramEnd"/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ilan etmesi, ilgili sigorta dal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kin ruhsat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iptal edilmesi veya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 yapma yetkisinin kald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gibi 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llerde; sigorta ettiren, bu olgular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rendi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 tarihten itibaren bir ay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inde sigorta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mesini feshedebilir.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 ettiren, aciz 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line 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en veya hakk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lan takip semeresiz kalan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dan, taahh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yerine getirilece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kin teminat isteyebilir. Bu istemden itibaren bir hafta 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inde teminat verilmemi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ise sigorta ettiren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meyi feshedebilir.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C.8. Ticari ve Mesleki S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rlar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n Sakl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 Tutulmas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ve sigortac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na hareket edenler bu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menin yap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dolay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yla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ya ve sigorta ettirene ili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renece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sakl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tutulmamas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ndan do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acak zararlardan sorumludur.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C.9. Zamana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t>Sigorta s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mesinden do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an b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istemler, alaca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muaccel oldu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u tarihten ba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layarak iki 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 ve sigorta tazminat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kin istemler her 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lde rizikonun ger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i tarihten itibaren on 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 ge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mekle zamana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na 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rar.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C.10. 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zel 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artlar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sz w:val="18"/>
          <w:szCs w:val="18"/>
        </w:rPr>
        <w:lastRenderedPageBreak/>
        <w:t>Taraflar, sigorta ettiren ve sigortal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n aleyhine olmamak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artlar kararla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rabilir.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5204A6" w:rsidRPr="005204A6" w:rsidRDefault="005204A6" w:rsidP="005204A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204A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Bu Tebli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mlerini Hazine M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u Bakan ile Sa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204A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204A6" w:rsidRPr="005204A6" w:rsidRDefault="005204A6" w:rsidP="005204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5204A6" w:rsidRPr="00746DB5" w:rsidRDefault="005204A6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5204A6" w:rsidRPr="00746DB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369A2"/>
    <w:rsid w:val="00066CA7"/>
    <w:rsid w:val="000A177A"/>
    <w:rsid w:val="000A58F2"/>
    <w:rsid w:val="000B0671"/>
    <w:rsid w:val="000B6EF9"/>
    <w:rsid w:val="000C0282"/>
    <w:rsid w:val="000C3900"/>
    <w:rsid w:val="000D551C"/>
    <w:rsid w:val="000E7387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673F0"/>
    <w:rsid w:val="00276593"/>
    <w:rsid w:val="00287F1D"/>
    <w:rsid w:val="002E3193"/>
    <w:rsid w:val="003061B0"/>
    <w:rsid w:val="00321F59"/>
    <w:rsid w:val="00347E76"/>
    <w:rsid w:val="00360556"/>
    <w:rsid w:val="003802F6"/>
    <w:rsid w:val="003D78AE"/>
    <w:rsid w:val="00430027"/>
    <w:rsid w:val="0044301A"/>
    <w:rsid w:val="004756C6"/>
    <w:rsid w:val="0048152B"/>
    <w:rsid w:val="004A0E72"/>
    <w:rsid w:val="005048DF"/>
    <w:rsid w:val="005204A6"/>
    <w:rsid w:val="00553DD2"/>
    <w:rsid w:val="005659EC"/>
    <w:rsid w:val="005F3296"/>
    <w:rsid w:val="00600440"/>
    <w:rsid w:val="006044C1"/>
    <w:rsid w:val="00614312"/>
    <w:rsid w:val="006241F8"/>
    <w:rsid w:val="00627628"/>
    <w:rsid w:val="006415B4"/>
    <w:rsid w:val="00653C6B"/>
    <w:rsid w:val="006D1349"/>
    <w:rsid w:val="006E2913"/>
    <w:rsid w:val="007124C5"/>
    <w:rsid w:val="00716CA8"/>
    <w:rsid w:val="00723DE2"/>
    <w:rsid w:val="00746DB5"/>
    <w:rsid w:val="00756AE6"/>
    <w:rsid w:val="007616B2"/>
    <w:rsid w:val="007735F2"/>
    <w:rsid w:val="00786031"/>
    <w:rsid w:val="007D3A13"/>
    <w:rsid w:val="007D5AEE"/>
    <w:rsid w:val="007F3656"/>
    <w:rsid w:val="008323BF"/>
    <w:rsid w:val="008339D6"/>
    <w:rsid w:val="008459A1"/>
    <w:rsid w:val="008628D5"/>
    <w:rsid w:val="008B1207"/>
    <w:rsid w:val="008C1EF5"/>
    <w:rsid w:val="00910ABC"/>
    <w:rsid w:val="00913002"/>
    <w:rsid w:val="00921161"/>
    <w:rsid w:val="00935012"/>
    <w:rsid w:val="009357F0"/>
    <w:rsid w:val="00951574"/>
    <w:rsid w:val="009729EE"/>
    <w:rsid w:val="009A3F85"/>
    <w:rsid w:val="009A6044"/>
    <w:rsid w:val="009C7909"/>
    <w:rsid w:val="009E07FA"/>
    <w:rsid w:val="009F4A7B"/>
    <w:rsid w:val="00A36600"/>
    <w:rsid w:val="00A402CF"/>
    <w:rsid w:val="00A77DDB"/>
    <w:rsid w:val="00A8408E"/>
    <w:rsid w:val="00AD42C3"/>
    <w:rsid w:val="00AF0ED2"/>
    <w:rsid w:val="00B0678C"/>
    <w:rsid w:val="00B14E0E"/>
    <w:rsid w:val="00B34093"/>
    <w:rsid w:val="00B861C0"/>
    <w:rsid w:val="00BB5601"/>
    <w:rsid w:val="00BB7BD5"/>
    <w:rsid w:val="00BC2896"/>
    <w:rsid w:val="00BD25BC"/>
    <w:rsid w:val="00BD6D9D"/>
    <w:rsid w:val="00BE27F2"/>
    <w:rsid w:val="00BF0554"/>
    <w:rsid w:val="00C11232"/>
    <w:rsid w:val="00C21E41"/>
    <w:rsid w:val="00C32A52"/>
    <w:rsid w:val="00CA5EAC"/>
    <w:rsid w:val="00CB2A21"/>
    <w:rsid w:val="00CB5187"/>
    <w:rsid w:val="00CD1C13"/>
    <w:rsid w:val="00CD3904"/>
    <w:rsid w:val="00CF07CA"/>
    <w:rsid w:val="00CF2D7A"/>
    <w:rsid w:val="00D20AC6"/>
    <w:rsid w:val="00D31912"/>
    <w:rsid w:val="00D439D6"/>
    <w:rsid w:val="00D60BF5"/>
    <w:rsid w:val="00D65D15"/>
    <w:rsid w:val="00D736B6"/>
    <w:rsid w:val="00D83281"/>
    <w:rsid w:val="00DB51D0"/>
    <w:rsid w:val="00DB6A3C"/>
    <w:rsid w:val="00DC00AC"/>
    <w:rsid w:val="00E04371"/>
    <w:rsid w:val="00E27B2A"/>
    <w:rsid w:val="00E30BEE"/>
    <w:rsid w:val="00E471B6"/>
    <w:rsid w:val="00E55223"/>
    <w:rsid w:val="00ED35F8"/>
    <w:rsid w:val="00ED523B"/>
    <w:rsid w:val="00F02AC3"/>
    <w:rsid w:val="00F17BB7"/>
    <w:rsid w:val="00F43558"/>
    <w:rsid w:val="00F60837"/>
    <w:rsid w:val="00F77306"/>
    <w:rsid w:val="00F840B6"/>
    <w:rsid w:val="00F91DDC"/>
    <w:rsid w:val="00FB4A80"/>
    <w:rsid w:val="00FC3C02"/>
    <w:rsid w:val="00FF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2177</Words>
  <Characters>12414</Characters>
  <Application>Microsoft Office Word</Application>
  <DocSecurity>0</DocSecurity>
  <Lines>103</Lines>
  <Paragraphs>29</Paragraphs>
  <ScaleCrop>false</ScaleCrop>
  <Company>TURMOB</Company>
  <LinksUpToDate>false</LinksUpToDate>
  <CharactersWithSpaces>14562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131</cp:revision>
  <dcterms:created xsi:type="dcterms:W3CDTF">2012-06-01T06:02:00Z</dcterms:created>
  <dcterms:modified xsi:type="dcterms:W3CDTF">2012-08-28T05:31:00Z</dcterms:modified>
</cp:coreProperties>
</file>