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F432F" w:rsidRDefault="005204A6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553DD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</w:t>
      </w:r>
      <w:r w:rsidR="001E3552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    </w:t>
      </w:r>
      <w:r w:rsidR="00F77306" w:rsidRPr="005F432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Sayı : </w:t>
      </w:r>
      <w:r w:rsidR="00193638" w:rsidRPr="005F432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D1349" w:rsidRPr="005F432F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5F432F">
        <w:rPr>
          <w:rFonts w:ascii="Times New Roman" w:hAnsi="Times New Roman" w:cs="Times New Roman"/>
          <w:b/>
          <w:sz w:val="20"/>
          <w:szCs w:val="20"/>
          <w:u w:val="single"/>
        </w:rPr>
        <w:t>95</w:t>
      </w:r>
    </w:p>
    <w:p w:rsidR="005204A6" w:rsidRPr="005F432F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265949" w:rsidRDefault="00265949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3603A" w:rsidRDefault="00B3603A" w:rsidP="00B3603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3603A">
        <w:rPr>
          <w:rFonts w:ascii="Times New Roman" w:eastAsia="ヒラギノ明朝 Pro W3" w:hAnsi="Times" w:cs="Times New Roman"/>
          <w:sz w:val="18"/>
          <w:szCs w:val="18"/>
          <w:u w:val="single"/>
        </w:rPr>
        <w:t>G</w:t>
      </w:r>
      <w:r w:rsidRPr="00B3603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  <w:u w:val="single"/>
        </w:rPr>
        <w:t>mr</w:t>
      </w:r>
      <w:r w:rsidRPr="00B3603A">
        <w:rPr>
          <w:rFonts w:ascii="Times New Roman" w:eastAsia="ヒラギノ明朝 Pro W3" w:hAnsi="Times" w:cs="Times New Roman"/>
          <w:sz w:val="18"/>
          <w:szCs w:val="18"/>
          <w:u w:val="single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  <w:u w:val="single"/>
        </w:rPr>
        <w:t>k ve Ticaret Bakanl</w:t>
      </w:r>
      <w:r w:rsidRPr="00B3603A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B3603A" w:rsidRPr="00B3603A" w:rsidRDefault="00B3603A" w:rsidP="00B3603A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ANON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Şİ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RKETLERDE ELEKTRON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 ORTAMDA YAPILACAK</w:t>
      </w:r>
    </w:p>
    <w:p w:rsidR="00B3603A" w:rsidRPr="00B3603A" w:rsidRDefault="00B3603A" w:rsidP="00B3603A">
      <w:pPr>
        <w:spacing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GENEL KURULLARA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 Y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3603A" w:rsidRPr="00B3603A" w:rsidRDefault="00B3603A" w:rsidP="00B3603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3603A" w:rsidRPr="00B3603A" w:rsidRDefault="00B3603A" w:rsidP="00B3603A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, anonim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lma,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neride bulunma,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klama ve oy kullanmaya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zenlenmesidir.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netmelik, anonim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 genel kurullar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lmaya,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neride bulunmaya,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klamaya ve oy kullanmaya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 genel kurullara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lmaya ve oy vermeye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ini, oyun hak sahibi veya temsilcisi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esaslar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 Elektronik Genel Kurul Sisteminin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ve bu sistemin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klerini kapsar.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netmelik, 13/1/2011 tarihli ve 6102 say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rk Ticaret Kanununun 1527 nci maddesinin be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larak 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a)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b) Borsaya kote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irket: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stanbul Menkul 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ymetler Borsas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zenlemeleri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nca borsaya kote olan anonim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irketleri,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c) Elektronik Genel Kurul Sistemi (EGKS): Genel kurullara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teminen 28/7/1981 tarihli ve 2499 say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Sermaye Piyasas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Kanununun 10/A maddesi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paylar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Merkezi Kay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 Kurulu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ndan kayden izlenen borsaya kote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Merkezi Kay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 Kurulu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lanacak elektronik platformu ve 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irketlerin 13/1/2011 tarihli ve 6102 say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rk Ticaret Kanununun 1527 nci maddesinin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kuracaklar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veya destek hizmeti alabilecekleri bili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im sistemini,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)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lma: Anonim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den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klamay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neride bulunmay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ve oy kullanmay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d)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venli Elektronik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mza: 15/1/2004 tarihli ve 5070 say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Elektronik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mza Kanununun 4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maddesinde tan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mlanan elektronik imzay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e) Hak sahibi: 13/1/2011 tarihli ve 6102 say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rk Ticaret Kanunu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nca anonim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 hakk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olan ger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f) Kanun: 13/1/2011 tarihli ve 6102 Say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rk Ticaret Kanununu,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g) Merkezi Kay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 Kurulu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 (MKK): 28/7/1981 tarihli ve 2499 say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Sermaye Piyasas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Kanununun 10/A maddesi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kurulmu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olan Merkezi Kay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 Kurulu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unu,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) Merkezi Sicil Kay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 Sistemi (MERS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S): Ticaret sicili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lemlerinin elektronik ortamda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 ticaret sicili kay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ile tescil ve ilan edilmesi gereken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eriklerin 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zenli olarak depoland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ve elektronik ortamda sunuldu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 merkezi ortak veri taban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da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eren,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ve Ticaret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turulan ve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netilen uygulamay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h) Tevdi eden temsilcisi: Kanunun 429 uncu maddesinde belirtilen temsilciyi,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)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: Kanunun 419 uncu maddesinin birinci 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turulan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Genel kurula elektronik ortamda kat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lmaya ve oy vermeye ili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kin esas s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me h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rne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 ve uygulama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Kanunun 1527 nci maddesi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yi uygulayacak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irketlerin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mesinde,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da belirtilen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maddelerden biri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erisinde yer almas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zorunludur: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irketin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 hakk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bulunan hak sahipleri bu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lara,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rk Ticaret Kanununun 1527 nci maddesi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elektronik ortamda 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irket, Anonim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irketlerde Elektronik Ortamda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lacak Genel Kurullara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hak sahiplerinin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na,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klamalar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na,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neride bulunmalar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ve oy kullanmalar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imkan tan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yacak elektronik genel kurul sistemini kurabilece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gibi bu ama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olu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sistemlerden de hizmet sat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alabilir.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lacak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menin bu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nca, kurulmu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olan sistem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zerinden hak sahiplerinin ve temsilcilerinin, 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mlerinde belirtilen haklar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kullanabilmesi sa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lastRenderedPageBreak/>
        <w:t>(2) Hak sahipleri ve temsilcilerinin elektronik ortamda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 ve oy kullanmas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imkan tan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yacak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irketler, yukar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da belirtilen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 herhangi bir de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iklik yapmadan bu metni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melerine aktarmak zorundad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melerinde bu maddede belirtilen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bulunan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irketler, yapacaklar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her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 hak sahiplerinin ve temsilcilerinin genel kurula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labilmelerini ve oy verebilmelerini sa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lamak zorundad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(3) Paylar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MKK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ndan kayden izlenen borsaya kote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irketlerin yapacaklar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lma, temsilci tayin etme,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neride bulunma,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klama ve oy verme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lemleri MKK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lanan EGKS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B3603A" w:rsidRDefault="00B3603A" w:rsidP="00B3603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3603A" w:rsidRPr="00B3603A" w:rsidRDefault="00B3603A" w:rsidP="00B3603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Genel Kurul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ncesi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Genel kurula ili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kin bilgi ve belgelere eri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imin sa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lanmas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(1) Kanunun 1527 nci maddesi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yi uygulayacak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irketlerin,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Kanun ve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 gere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zorunlu olan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, genel kurul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ncesi hak sahiplerinin incelemesine sunulmas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zorunlu olan belgeleri ve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ndemine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belgeleri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venli elektronik imzal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olarak Kanunda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len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inde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 hak sahiplerinin eri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imine haz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 bulundurmalar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Genel kurula elektronik ortamda kat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lma bildirimi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Genel kurula elektronik ortamda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ahsen veya temsilcileri arac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yla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lmak isteyen hak sahipleri bu tercihlerini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den bildirmek zorundad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(2) Genel kurula hak sahibi yerine temsilcinin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durumda temsilcinin kimlik bilgisinin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ye kaydedilmesi zorunludur. Temsilcinin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ya fiziki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durumlarda da yetkilendirme bu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labilir. Hak sahibi temsilci tayin ederken temsilcisini genel olarak yetkilendirebilece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gibi her bir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ndem maddesine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da yetkilendirebilir.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 haklar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temsilci olarak kullanan ki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i, temsil edilenin talimat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uygun oy kullan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(3)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hak sahipleri ad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na, birinci ve ikinci 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lacak bildirimlerin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imza yetkilisince Kanunun 1526 nc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maddesinin 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gere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ince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 nam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kendi adlar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retilen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venli elektronik imzayla imzalanmas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(4) Bildirimler, hak sahibinin talimat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uygun olarak paylar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tevdi edildi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kurulu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da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(5)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bildiren hak sahibi bu tercihini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 geri alabilir.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ndeki bu talebini geriye almayan hak sahibi veya temsilcisi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fiziken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B3603A" w:rsidRPr="00B3603A" w:rsidRDefault="00B3603A" w:rsidP="00B3603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ÜÇÜ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3603A" w:rsidRPr="00B3603A" w:rsidRDefault="00B3603A" w:rsidP="00B3603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Genel Kurul An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ndaki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Toplant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ya kat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(1) Genel kurula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m, hak sahiplerinin veya temsilcilerinin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venli elektronik imzalar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ile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ye girmeleriyle ger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(2)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lan hak sahipleri ve temsilcilerine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liste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nce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den al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r. Bu liste, Kanunun 407 nci maddesinin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lacak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evesinde haz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 bulunanlar listesinin olu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Toplant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 elektronik ortamda a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(1)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fiziki ve elektronik ortamda ayn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anda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in ilgili mevzuattaki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yerine getirildi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inin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temsilcisince de tespiti zorunludur.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deki teknik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lemlerin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 yerine getirilmesi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uzman ki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iler de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Elektronik ortamda g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iletme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Hak sahibi veya temsilcisi,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lerini elektronik olarak iletir.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Oy verme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lanlar,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ilgili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ndem maddesine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oylamaya ge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ini bildirmesinden sonra, oylar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EGKS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zerinden kullan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(2) Her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ndem maddesinin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oylamaya ge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ildi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ini bildirmesinden sonra ayr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oylanmas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zorunludur. Hak sahibi veya temsilci ilgili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ndem maddesine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olarak verdi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oyu de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tiremez. Oylama sonucu, EGKS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zerinden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iletilir.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bu sonucu ve varsa elektronik ortamda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nderilen muhalefet beyan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tutana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a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letir.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Tutanak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Haz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 bulunanlar listesi ve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tutana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bitiminde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temsilcisine elektronik belge ta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maya ve saklamaya elveri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li bir ortam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erisinde de teslim edilir.</w:t>
      </w:r>
    </w:p>
    <w:p w:rsidR="00B3603A" w:rsidRPr="00B3603A" w:rsidRDefault="00B3603A" w:rsidP="00B3603A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3603A" w:rsidRPr="00B3603A" w:rsidRDefault="00B3603A" w:rsidP="00B3603A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irketlerin y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Kanunun 1527 nci maddesi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lma ve oy kullanma sistemini uygulayacak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 ile bu ama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la destek hizmeti sunacak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irketler,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er maddelerinde belirtilen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klerin yan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da belirtilen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kleri de yerine getirmek zorundad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irketler, EGKS'nin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 ve Kanun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mlerine uygunlu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unu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lacak Tebli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 belirlenen esas ve usullere uygun olarak tespit ettirip tescil ve ilan ettirmek zorundad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irketler, varsa organ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temsilcisi,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 temsilci ve kurumsal temsilcilerin bilgilerini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 hak sahiplerinin bilgisine sunar.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irketlerin kendisi veya destek hizmeti ald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irketler,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lemlere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kay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 genel kurula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lan hak sahiplerinin ve temsilcilerinin kimlik bilgilerini, elektronik ortamda, bunlar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gizlili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ini ve b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layarak on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reyle saklamak zorundad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r. Borsaya kote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 konusu saklama zorunlulu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 MKK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) Paylar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MKK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ndan kayden izlenen borsaya kote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irketler, kendileri veya destek hizmeti ald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lar arac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yla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ve ses naklini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ye aktarmak ve sistemin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olarak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lacak Tebli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 belirlenecek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leyi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esaslar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uymak zorundad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irketlerin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yi kurmak yerine destek hizmeti al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tercih etmeleri durumunda destek hizmeti al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de birinci 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(a) bendi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uygulan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den kaynaklanan nedenlerle hak sahiplerinin 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rayaca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zararlardan gerek destek hizmeti alan gerek destek hizmeti veren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irketin sorumlulu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 genel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mlere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Elektronik genel kurul sistemindeki i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nca hak sahiplerinin elektronik ortamda genel kurula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labilmeleri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ye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venli elektronik imza ile giri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yapmalar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(2) EGKS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zerinden olu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turulan belgeler;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turan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yeler,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neticileri ve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temsilcisi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venli elektronik imza ile de imzalanabilir.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Bakanl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n d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zenleme yetkisi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uygulanmas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ve EGKS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nin ta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gereken teknik ve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venlik kriterlerine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usul ve esaslar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lacak bir Tebli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ile 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(1) 5 inci maddenin birinci 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 belirtilen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 de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inin, paylar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MKK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ndan kayden izlenen borsaya kote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irketlerce,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 girmesinden sonra yapacaklar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ilk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zorunludur. Bu esas 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me de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inin ilk genel kurulda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lacak olmas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,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 tarih itibariyle hak sahiplerinin genel kurul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gerekli olan sistemin kurulmas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ve hak sahiplerine elektronik ortamda kat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 imkan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zorunlulu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unu ortadan kald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rmaz.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(2)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a, genel kurula ili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kin belgelerin EGKS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 MERS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 elektronik ortamda aktar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kadar genel kurul belgeleri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bitiminde, toplant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ndan,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temsilcisinin kurumsal elektronik posta adresine veya Kay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Elektronik Posta hesab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nderilir veya elektronik belge ta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maya ve saklamaya elveri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li bir ortam 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inde Bakanl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temsilcisine teslim edilir.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sz w:val="18"/>
          <w:szCs w:val="18"/>
        </w:rPr>
        <w:t>(3)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k tarihinden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nce, 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genel kurullara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mleri uygulanmaz.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 1/10/2012 tarihinde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B3603A" w:rsidRPr="00B3603A" w:rsidRDefault="00B3603A" w:rsidP="00B3603A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B3603A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k ve Ticaret Bakan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3603A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3603A" w:rsidRPr="005F432F" w:rsidRDefault="00B3603A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3603A" w:rsidRPr="005F432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16B90"/>
    <w:rsid w:val="00027FCC"/>
    <w:rsid w:val="000369A2"/>
    <w:rsid w:val="00066CA7"/>
    <w:rsid w:val="000A177A"/>
    <w:rsid w:val="000A58F2"/>
    <w:rsid w:val="000B0671"/>
    <w:rsid w:val="000B6EF9"/>
    <w:rsid w:val="000C0282"/>
    <w:rsid w:val="000C3900"/>
    <w:rsid w:val="000D551C"/>
    <w:rsid w:val="000E7387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556"/>
    <w:rsid w:val="003802F6"/>
    <w:rsid w:val="003D78AE"/>
    <w:rsid w:val="00430027"/>
    <w:rsid w:val="00433266"/>
    <w:rsid w:val="0044301A"/>
    <w:rsid w:val="004756C6"/>
    <w:rsid w:val="0048152B"/>
    <w:rsid w:val="004A0E72"/>
    <w:rsid w:val="005048DF"/>
    <w:rsid w:val="005204A6"/>
    <w:rsid w:val="00553DD2"/>
    <w:rsid w:val="005659EC"/>
    <w:rsid w:val="005F3296"/>
    <w:rsid w:val="005F432F"/>
    <w:rsid w:val="00600440"/>
    <w:rsid w:val="00602475"/>
    <w:rsid w:val="006044C1"/>
    <w:rsid w:val="00614312"/>
    <w:rsid w:val="006241F8"/>
    <w:rsid w:val="00627628"/>
    <w:rsid w:val="006415B4"/>
    <w:rsid w:val="00653C6B"/>
    <w:rsid w:val="006D1349"/>
    <w:rsid w:val="006E2913"/>
    <w:rsid w:val="007124C5"/>
    <w:rsid w:val="00716CA8"/>
    <w:rsid w:val="00723DE2"/>
    <w:rsid w:val="00746DB5"/>
    <w:rsid w:val="00756AE6"/>
    <w:rsid w:val="007616B2"/>
    <w:rsid w:val="007735F2"/>
    <w:rsid w:val="00786031"/>
    <w:rsid w:val="007D3A13"/>
    <w:rsid w:val="007D5AEE"/>
    <w:rsid w:val="007F3656"/>
    <w:rsid w:val="008323BF"/>
    <w:rsid w:val="008339D6"/>
    <w:rsid w:val="008459A1"/>
    <w:rsid w:val="008628D5"/>
    <w:rsid w:val="008B1207"/>
    <w:rsid w:val="008C1EF5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7DDB"/>
    <w:rsid w:val="00A8408E"/>
    <w:rsid w:val="00AD42C3"/>
    <w:rsid w:val="00AF0ED2"/>
    <w:rsid w:val="00B0678C"/>
    <w:rsid w:val="00B14E0E"/>
    <w:rsid w:val="00B34093"/>
    <w:rsid w:val="00B3603A"/>
    <w:rsid w:val="00B861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31912"/>
    <w:rsid w:val="00D439D6"/>
    <w:rsid w:val="00D60BF5"/>
    <w:rsid w:val="00D65D15"/>
    <w:rsid w:val="00D736B6"/>
    <w:rsid w:val="00D83281"/>
    <w:rsid w:val="00DB51D0"/>
    <w:rsid w:val="00DB6A3C"/>
    <w:rsid w:val="00DC00AC"/>
    <w:rsid w:val="00E04371"/>
    <w:rsid w:val="00E27B2A"/>
    <w:rsid w:val="00E30BEE"/>
    <w:rsid w:val="00E471B6"/>
    <w:rsid w:val="00E55223"/>
    <w:rsid w:val="00ED35F8"/>
    <w:rsid w:val="00ED3CF3"/>
    <w:rsid w:val="00ED523B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1851</Words>
  <Characters>10551</Characters>
  <Application>Microsoft Office Word</Application>
  <DocSecurity>0</DocSecurity>
  <Lines>87</Lines>
  <Paragraphs>24</Paragraphs>
  <ScaleCrop>false</ScaleCrop>
  <Company>TURMOB</Company>
  <LinksUpToDate>false</LinksUpToDate>
  <CharactersWithSpaces>12378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139</cp:revision>
  <dcterms:created xsi:type="dcterms:W3CDTF">2012-06-01T06:02:00Z</dcterms:created>
  <dcterms:modified xsi:type="dcterms:W3CDTF">2012-08-28T05:37:00Z</dcterms:modified>
</cp:coreProperties>
</file>