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F432F" w:rsidRDefault="00DB4F85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01 Eylül</w:t>
      </w:r>
      <w:r w:rsidR="00553DD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Sayı : </w:t>
      </w:r>
      <w:r w:rsidR="00193638" w:rsidRPr="005F432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 w:rsidRPr="005F432F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470FC3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8</w:t>
      </w:r>
    </w:p>
    <w:p w:rsidR="005204A6" w:rsidRPr="005F432F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3604BD" w:rsidRDefault="003604B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81C58" w:rsidRDefault="00D81C5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B4F85" w:rsidRDefault="00DB4F85" w:rsidP="00DB4F85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DB4F85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DB4F85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DB4F85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DB4F85" w:rsidRPr="00DB4F85" w:rsidRDefault="00DB4F85" w:rsidP="00DB4F85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K UZLA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MA Y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DB4F85" w:rsidRPr="00DB4F85" w:rsidRDefault="00DB4F85" w:rsidP="00DB4F85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DB4F85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27/8/2011 tarihli ve 28038 say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inin 4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d) Ertelenmi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kontrol,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in 5 inci maddesinin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tahsilinin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 6 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kralar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nda,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sekreterya hizmetlerini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ten birimlerince,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inin 579 uncu maddesi dikkate al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narak,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maya konu alaca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5607 say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maddesinde belirtilen fiillerle ili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kisinin olup olmad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 Bu ara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rma 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a) Adli 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lamam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olmakla birlikte 5607 say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nda takibatta bulunulmas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talebiyle fezleke veya rapor 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ya da adli makamlara bildirimde bulunulmu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b) Adli mercilerce soru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turma ya da kovu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turma yap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yor olmas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lgili Cumhuriyet Savc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veya Mahkeme taraf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ndan ceza verilmi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hallerinden birinin varl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tespit edilmesi durumunda ili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ki oldu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u sonucuna var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ki olup olmad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hususu,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recinin her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erlendirilir. Aksi bir tespit olmas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durumunda,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yap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lmaz.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 7 nci maddesine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(7)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, 10.000 TL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den az olan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talepleri 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 toplanamaz. Birden fazla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vurusunun 10.000 TL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yi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halinde, bu talepler tek bir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Komisyonu taraf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ndan sonu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labilir.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 9 uncu maddesinin alt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 11 inci maddesine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vergileri ve cezalar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tebli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tarihlerinin farkl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halinde,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vurusunda,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vergileri veya cezalara ili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kin en son tebli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tarihi esas al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 12 nci maddesi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n kendisi, temsilcisi veya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zel vek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letname verilmesi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yla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aviri; veli ya da vasi veya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k vergilerinin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denmesinden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ile birlikte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tereken ve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teselsilen sorumlu olmas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halinde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avirleri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talebinde bulunabilir.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in 13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(7)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talebinde bulunulan alaca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hatal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unun tespit edilmesi halinde, durum gerek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esi ile birlikte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ye bildirilir ve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meleri 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zeltilmi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tutar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in 14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(3)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k vergilerinin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denmesinden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ile birlikte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avirlerinin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tereken ve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teselsilen sorumlu olmas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halinde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avirinin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vurusu beraber sonu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 Bu durumda, taraflardan biri veya her ikisinin kat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ile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mesi yap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 15 inci maddesi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(1)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komisyonu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melerine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veya veli ya da vasinin bizzat kat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toplant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ya kat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halinde, temsilcisi veya vek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letnamede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zel yetki verilmesi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yla,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aviri de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melere kat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labilir ve tutanaklar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imzalayabilir. Ayr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ca,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k vergilerinin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denmesinden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ile birlikte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tereken ve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teselsilen sorumlu oldu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u durumlarda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vurusunda bulunan ve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melere kendisi ve/veya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ile birlikte kat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aviri de tutanaklar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imzalayabilir.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(2)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,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komisyonu toplant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lerini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klamak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zere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aviri bulundurabilir.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(3)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komisyonlar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na,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hil, kat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lacak ki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emez. Tutanaklara imza atma yetkisi olan ki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 veya ki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ilerin yan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nda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komisyonu toplant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lan di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er ki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 veya ki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iler,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mede haz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 bulunanlar olarak,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tutana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na imza atarlar.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 18 inci maddesinin birinci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mlesinde ge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talebi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7 nci maddenin yedinci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zere,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talebinin,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eklinde,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30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45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;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krada ge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ilgili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üğü”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maddeye 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lastRenderedPageBreak/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(2) 7 nci maddenin yedinci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nca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klerine yap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lan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ma taleplerinin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erisinde 10.000 TL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ye ula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halinde, takip eden ay 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inde mevcut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talepleri sonu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z konusu 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relerin hesaplanmas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nda ilk yap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lan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vuru tarihi esas al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 19 uncu maddesinin ikinci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bentlerinin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ile 529 uncu maddesinin birinci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(a), (b) ve (c) bentlerinin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in 21 inci maddesinin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lan alacakla ilgili olarak 5607 say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re daha sonra cezaya h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kmedilmesi halinde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inin 579 uncu maddesine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in 23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maddesinin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lan cezalarda uygulanmayacak indirimler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in 24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itibaren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genel usullere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, ikinci f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 ekindeki EK-5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te yer alan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lan tutar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belirtilen 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denmemesi halinde uzla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 vaki olmam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, EK-7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de yer alan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kabul etti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ini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ibaresinden sonra gelen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dava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itiraz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, EK-5, EK-6 ve EK-7 no.lu tutanaklar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 en alt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daki sat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r, EK-6 ve EK-7 no.lu tutanaklar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/Vekil (Tutana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imzalayan ve bir 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tebell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eden)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ibarelerinden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nce gelmek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daki sat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 eklenmi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mede haz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 bulunanlar: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sz w:val="18"/>
          <w:szCs w:val="18"/>
        </w:rPr>
        <w:tab/>
      </w:r>
    </w:p>
    <w:tbl>
      <w:tblPr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7"/>
        <w:gridCol w:w="1276"/>
      </w:tblGrid>
      <w:tr w:rsidR="00DB4F85" w:rsidRPr="00DB4F8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F85" w:rsidRPr="00DB4F85" w:rsidRDefault="00DB4F85" w:rsidP="00DB4F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B4F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İSİM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F85" w:rsidRPr="00DB4F85" w:rsidRDefault="00DB4F85" w:rsidP="00DB4F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B4F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İSİM</w:t>
            </w:r>
          </w:p>
        </w:tc>
      </w:tr>
      <w:tr w:rsidR="00DB4F85" w:rsidRPr="00DB4F85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F85" w:rsidRPr="00DB4F85" w:rsidRDefault="00DB4F85" w:rsidP="00DB4F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B4F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F85" w:rsidRPr="00DB4F85" w:rsidRDefault="00DB4F85" w:rsidP="00DB4F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B4F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</w:t>
            </w:r>
          </w:p>
        </w:tc>
      </w:tr>
    </w:tbl>
    <w:p w:rsidR="00DB4F85" w:rsidRPr="00DB4F85" w:rsidRDefault="00DB4F85" w:rsidP="00DB4F85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DB4F85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                                     ”</w:t>
      </w:r>
    </w:p>
    <w:p w:rsidR="00DB4F85" w:rsidRPr="00DB4F85" w:rsidRDefault="00DB4F85" w:rsidP="00DB4F85">
      <w:pPr>
        <w:spacing w:after="0" w:line="240" w:lineRule="exact"/>
        <w:ind w:left="5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DB4F85">
        <w:rPr>
          <w:rFonts w:ascii="Times New Roman" w:eastAsia="ヒラギノ明朝Pro W3" w:hAnsi="Times New Roman" w:cs="Times New Roman"/>
          <w:sz w:val="18"/>
          <w:szCs w:val="18"/>
          <w:lang w:eastAsia="tr-TR"/>
        </w:rPr>
        <w:t>“</w:t>
      </w:r>
    </w:p>
    <w:tbl>
      <w:tblPr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4"/>
      </w:tblGrid>
      <w:tr w:rsidR="00DB4F85" w:rsidRPr="00DB4F85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F85" w:rsidRPr="00DB4F85" w:rsidRDefault="00DB4F85" w:rsidP="00DB4F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4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İSİM</w:t>
            </w:r>
          </w:p>
        </w:tc>
      </w:tr>
      <w:tr w:rsidR="00DB4F85" w:rsidRPr="00DB4F85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F85" w:rsidRPr="00DB4F85" w:rsidRDefault="00DB4F85" w:rsidP="00DB4F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4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Yükümlü</w:t>
            </w:r>
          </w:p>
        </w:tc>
      </w:tr>
      <w:tr w:rsidR="00DB4F85" w:rsidRPr="00DB4F85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F85" w:rsidRPr="00DB4F85" w:rsidRDefault="00DB4F85" w:rsidP="00DB4F8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4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</w:tbl>
    <w:p w:rsidR="00DB4F85" w:rsidRPr="00DB4F85" w:rsidRDefault="00DB4F85" w:rsidP="00DB4F85">
      <w:pPr>
        <w:spacing w:after="0" w:line="240" w:lineRule="exact"/>
        <w:ind w:left="35" w:firstLine="567"/>
        <w:jc w:val="both"/>
        <w:rPr>
          <w:rFonts w:ascii="Times New Roman" w:eastAsia="ヒラギノ明朝Pro W3" w:hAnsi="Times New Roman" w:cs="Times New Roman"/>
          <w:sz w:val="18"/>
          <w:szCs w:val="18"/>
          <w:lang w:eastAsia="tr-TR"/>
        </w:rPr>
      </w:pPr>
      <w:r w:rsidRPr="00DB4F85">
        <w:rPr>
          <w:rFonts w:ascii="Times New Roman" w:eastAsia="ヒラギノ明朝Pro W3" w:hAnsi="Times New Roman" w:cs="Times New Roman"/>
          <w:sz w:val="18"/>
          <w:szCs w:val="18"/>
          <w:lang w:eastAsia="tr-TR"/>
        </w:rPr>
        <w:t xml:space="preserve">                                              ”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Muhafaza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üğü”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üğü”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Muhafaza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Muhafaza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nde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Muhafaza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klerinde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klerinde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Muhafaza 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klerinin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Ticaret B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klerinin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üğü”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eklinde,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ibareleri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B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DB4F85" w:rsidRPr="00DB4F85" w:rsidRDefault="00DB4F85" w:rsidP="00DB4F85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DB4F85" w:rsidRPr="00DB4F85" w:rsidRDefault="00DB4F85" w:rsidP="00DB4F85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DB4F85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DB4F85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DB4F85" w:rsidRPr="00DB4F85" w:rsidRDefault="00DB4F85" w:rsidP="00DB4F85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DB4F85" w:rsidRPr="00DB4F85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4F85" w:rsidRPr="00DB4F85" w:rsidRDefault="00DB4F85" w:rsidP="00DB4F8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DB4F85" w:rsidRPr="00DB4F85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B4F85" w:rsidRPr="00DB4F85" w:rsidRDefault="00DB4F85" w:rsidP="00DB4F8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4F85" w:rsidRPr="00DB4F85" w:rsidRDefault="00DB4F85" w:rsidP="00DB4F8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DB4F85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DB4F85" w:rsidRPr="00DB4F85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85" w:rsidRPr="00DB4F85" w:rsidRDefault="00DB4F85" w:rsidP="00DB4F8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DB4F85">
              <w:rPr>
                <w:rFonts w:ascii="Times New Roman" w:eastAsia="ヒラギノ明朝 Pro W3" w:hAnsi="Times" w:cs="Times New Roman"/>
                <w:sz w:val="18"/>
                <w:szCs w:val="18"/>
              </w:rPr>
              <w:t>27/8/2012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85" w:rsidRPr="00DB4F85" w:rsidRDefault="00DB4F85" w:rsidP="00DB4F85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DB4F85">
              <w:rPr>
                <w:rFonts w:ascii="Times New Roman" w:eastAsia="ヒラギノ明朝 Pro W3" w:hAnsi="Times" w:cs="Times New Roman"/>
                <w:sz w:val="18"/>
                <w:szCs w:val="18"/>
              </w:rPr>
              <w:t>28038</w:t>
            </w:r>
          </w:p>
        </w:tc>
      </w:tr>
    </w:tbl>
    <w:p w:rsidR="00DB4F85" w:rsidRDefault="00DB4F8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DB4F8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16B90"/>
    <w:rsid w:val="00027FCC"/>
    <w:rsid w:val="000369A2"/>
    <w:rsid w:val="00066CA7"/>
    <w:rsid w:val="000A177A"/>
    <w:rsid w:val="000A58F2"/>
    <w:rsid w:val="000B0671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D78AE"/>
    <w:rsid w:val="00430027"/>
    <w:rsid w:val="00433266"/>
    <w:rsid w:val="0044301A"/>
    <w:rsid w:val="00470FC3"/>
    <w:rsid w:val="004756C6"/>
    <w:rsid w:val="0048152B"/>
    <w:rsid w:val="004A0E72"/>
    <w:rsid w:val="004E34EC"/>
    <w:rsid w:val="005048DF"/>
    <w:rsid w:val="005204A6"/>
    <w:rsid w:val="00553DD2"/>
    <w:rsid w:val="005659EC"/>
    <w:rsid w:val="005F3296"/>
    <w:rsid w:val="005F432F"/>
    <w:rsid w:val="00600440"/>
    <w:rsid w:val="00602475"/>
    <w:rsid w:val="006044C1"/>
    <w:rsid w:val="00614312"/>
    <w:rsid w:val="006241F8"/>
    <w:rsid w:val="00627628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C58"/>
    <w:rsid w:val="00D83281"/>
    <w:rsid w:val="00DB4F85"/>
    <w:rsid w:val="00DB51D0"/>
    <w:rsid w:val="00DB6A3C"/>
    <w:rsid w:val="00DC00AC"/>
    <w:rsid w:val="00E04371"/>
    <w:rsid w:val="00E27B2A"/>
    <w:rsid w:val="00E30BEE"/>
    <w:rsid w:val="00E43105"/>
    <w:rsid w:val="00E471B6"/>
    <w:rsid w:val="00E55223"/>
    <w:rsid w:val="00ED35F8"/>
    <w:rsid w:val="00ED3CF3"/>
    <w:rsid w:val="00ED523B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1076</Words>
  <Characters>6135</Characters>
  <Application>Microsoft Office Word</Application>
  <DocSecurity>0</DocSecurity>
  <Lines>51</Lines>
  <Paragraphs>14</Paragraphs>
  <ScaleCrop>false</ScaleCrop>
  <Company>TURMOB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155</cp:revision>
  <cp:lastPrinted>2012-08-29T06:03:00Z</cp:lastPrinted>
  <dcterms:created xsi:type="dcterms:W3CDTF">2012-06-01T06:02:00Z</dcterms:created>
  <dcterms:modified xsi:type="dcterms:W3CDTF">2012-09-03T05:48:00Z</dcterms:modified>
</cp:coreProperties>
</file>