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C907F5" w:rsidRDefault="0020778F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E291B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B4F85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C907F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C907F5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C907F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C907F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</w:p>
    <w:p w:rsidR="005204A6" w:rsidRPr="00C907F5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C907F5" w:rsidRDefault="00C907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0778F" w:rsidRDefault="0020778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D49FC" w:rsidRDefault="007D49FC" w:rsidP="007D49F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7D49FC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D49FC" w:rsidRPr="007D49FC" w:rsidRDefault="007D49FC" w:rsidP="007D49FC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RK PARASI KIYMET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KORUMA HAKKINDA 32 SAYILI KARARA</w:t>
      </w:r>
    </w:p>
    <w:p w:rsidR="007D49FC" w:rsidRPr="007D49FC" w:rsidRDefault="007D49FC" w:rsidP="007D49FC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(TEBL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NO:2006-32/32)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DE DE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D49FC" w:rsidRPr="007D49FC" w:rsidRDefault="007D49FC" w:rsidP="007D49FC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7D49FC" w:rsidRPr="007D49FC" w:rsidRDefault="007D49FC" w:rsidP="007D49FC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2012-32/41)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7D49FC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22/9/2006 tarihli ve 26297 say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 32 Say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Karara 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No: 2006-32/32)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(a), (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) ve (e) bentleri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ve (d) bendi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a) Efektifleri almak ve satmak.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)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ymetli Madenler Borsas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ye olmak kayd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yla, ilgili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netmelik ve mevzuat h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evesinde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ymetli ta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 ile standart ve standart 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ymetli madenlerin ithalini, ihrac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 konusu Borsada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lmekte olan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ymetli maden ve ta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lemleri yapmak.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e) Darphane ve Damga Matbaas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retilen bas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nlar (milli ziynet ve mesk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 vb.) ile bir kilogramdan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 bar veya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eklindeki standart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lenmemi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yapmak.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(c) ve (d) bentleri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ve (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) bendi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sermayelerinin 500 bin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ndan az olmamas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d) Kurucular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n,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flis, konkordato ilan etmi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veya taksirli su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zere affa 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olsalar dahi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reli hapis veya cezas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ne olursa olsun zimmet, irtikap, 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k, sahtecilik,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ye kullanma, hileli iflas,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revi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ye kullanma gibi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zart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 ile ka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 su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tefecilik, ihaleye fesat kar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rma, edimin ifas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rma, Devlet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vurma, vergi ka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su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tan kaynaklanan mal varl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erlerini aklama, ter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finansman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su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 giymi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(b) bendi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(c) bendi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maddeye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de yerle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ik her bir kurucu ortak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1)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flis olmad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2) Konkordato ilan etmi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3) Adli sicil kayd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beyanlar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4)Vergi borcu bulunmad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dair ba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bulunulan vergi dairesinden 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nacak belgenin,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5) Ger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1 numaral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2 numaral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ekindeki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e uygun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ve noter huzurunda 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zenlenip imza edilecek birer beyannamenin,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(3) Ger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belge verenler ya da beyanda bulunanlar hakk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 yasal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in 7 nci maddesinin birinci ve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(1) Kurucular, 6 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maddede belirtilen bilgi ve belgeler ile birlikte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 kurmak amac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 izin almak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zere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vuruda bulunurlar.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(3)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 kurmak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 izin alan kurucular, faaliyet izni alana kadar faaliyette bulunamazlar. Faaliyet izni verilmeden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nce faaliyete ge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tikleri tespit edilenlerin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izinleri iptal edilir ve kurucular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 yasal kovu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turmaya ge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ilir.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8 inci maddesinin ikinci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(a) bendi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(c) ile (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) bentleri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a) Ana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menin yay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rkiye Ticaret Sicili Gazetesi'nin bir 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(4) Faaliyet izin tarihinden itibaren 90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 faaliyete ge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ilmemesi veya faaliyete aral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 120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veya daha fazla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reyle ara verilmesi halinde, faaliyet izni ve "Yetkili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essese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zin Belgesi" iptal edilir.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zin belgesi iptal edilen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irket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 olarak faaliyette bulunamaz.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9 uncu maddesinin ikinci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(a) ve (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) bentleri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(b) ve (c) bentleri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a) Her bir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ube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in 5 inci maddede belirtilen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sermayeye 500 bin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ilave edildi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rkiye Ticaret Sicili Gazetesi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nin bir 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ve art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lan sermayenin tamam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sterir bankadan 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nacak belgenin,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ubenin tescil edildi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rkiye Ticaret Sicili Gazetesi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nin bir 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n,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lastRenderedPageBreak/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ube izin belgesinin verili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tarihinden itibaren 90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 faaliyete ge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ilmemesi veya faaliyete aral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 120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veya daha fazla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reyle ara verilmesi halinde, faaliyet izni ve "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ube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zin Belgesi" iptal edilir.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zin belgesi iptal edilen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ube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 olarak faaliyette bulunamaz.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11 inci maddesi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12 nci maddesi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(1)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esseselerin merkez ve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ubeleri,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bildirdikleri adresleri 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 bir yerde faaliyette bulunamazlar.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(2) Merkez ve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ubelerinin adreslerinde meydana gelen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iklik 15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erisinde, eski adresin terkedildi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ine ve yeni adreste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dair ilgili vergi dairelerinden al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nacak belgelerle birlikte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bildirilir. Ayr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ca yeni adresin tescil ve ilan edildi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rkiye Ticaret Sicili Gazetesi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nin bir 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yeni adreste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tarihten itibaren 30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(3)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esseselerin unvan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iznine tabidir.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(1)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 bilan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o ve kar/zarar tablolar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ilgili olduklar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takip eden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Nisan 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 onayl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rneklerini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nderirler.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(2)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 unvanlar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ortaklar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yeleri ile genel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 veya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neticilerine ili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kin bilgiler ile ileti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im bilgilerinde meydana gelen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iklikleri,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iklik tarihinden itibaren 10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bildirirler.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(3)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esseseler, 8 ve 9 uncu madde kapsam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nda faaliyete ara verecek merkez ve/veya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ubelerini, faaliyete ara vermeden 10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ncesinde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 bildirirler. Faaliyete ara veren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esseselerin bu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 do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acak olan idari ve mali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klerini yerine getirmesi gerekmektedir.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(4)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k,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esseselerden gerek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len her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bilgi ve belgeyi belirleyece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ekil, ortam ve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relerde isteyebilir.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16 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(1)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esseselerin faaliyet ve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lemleri, 1567 say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 Kanuna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 inceleme ve soru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turma yapmaya yetkili bulunan denetim elemanlar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ile ilgili mevzuat gere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 denetim yapmaya yetkili merci ve elemanlar taraf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ndan incelenebilir.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17 nci maddesi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lem yapt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tespit edilenler hakk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nda, 1567 say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nda Kanunun 3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istinaden yasal kovu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turmaya ge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ilir.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eki Ek:3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ici 1 inci madde eklenmi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(1)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esseseler, 30/9/2012 tarihinden itibaren bir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sermayelerini bu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 5 inci ve 9 uncu maddelerinde belirtilen tutarlara tamamlamak zorundad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rlar.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 konusu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yerine getirmedi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 tespit edilen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esseselere, bu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yerine getirilmesini teminen en fazla 90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 ek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 verilir. Bu 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erisinde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yerine getirmeyen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esseselerin faaliyet izni ba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ka bir uyar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ya gerek olmaks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iptal edilir.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ici 2 nci madde eklenmi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(1)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 taraf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ndan T.C. Ziraat Bankas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Muhtelif Bor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lar-Bloke Paralar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bulunan 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vizlerin iade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lemleri, 30/9/2012 tarihinden itibaren 180 g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inde T.C. Ziraat Bankas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nca sonu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sz w:val="18"/>
          <w:szCs w:val="18"/>
        </w:rPr>
        <w:t>(2) Yetkili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esseseler taraf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ndan T.C. Ziraat Bankas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Muhtelif Bor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lar-Bloke Paralar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bulunan d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vizler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zerinde haciz veya tedbir karar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halinde, gerekli 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lemler ilgili idari ve adli mercilerin kararlar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evesinde T.C. Ziraat Bankas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9FC" w:rsidRPr="007D49FC" w:rsidRDefault="007D49FC" w:rsidP="007D49F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D49FC" w:rsidRPr="007D49FC" w:rsidRDefault="007D49FC" w:rsidP="007D49FC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9F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9F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9FC" w:rsidRPr="007D49FC" w:rsidRDefault="007D49FC" w:rsidP="007D49FC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7D49FC" w:rsidRPr="007D49F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D49FC" w:rsidRPr="007D49F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7D49FC" w:rsidRPr="007D49FC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22/9/2006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26297</w:t>
            </w:r>
          </w:p>
        </w:tc>
      </w:tr>
      <w:tr w:rsidR="007D49FC" w:rsidRPr="007D49F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7D49FC" w:rsidRPr="007D49F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7D49F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7D49FC" w:rsidRPr="007D49F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28/8/2008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26981</w:t>
            </w:r>
          </w:p>
        </w:tc>
      </w:tr>
      <w:tr w:rsidR="007D49FC" w:rsidRPr="007D49F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13/9/2011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FC" w:rsidRPr="007D49FC" w:rsidRDefault="007D49FC" w:rsidP="007D49F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7D49FC">
              <w:rPr>
                <w:rFonts w:ascii="Times New Roman" w:eastAsia="ヒラギノ明朝 Pro W3" w:hAnsi="Times" w:cs="Times New Roman"/>
                <w:sz w:val="18"/>
                <w:szCs w:val="18"/>
              </w:rPr>
              <w:t>28053</w:t>
            </w:r>
          </w:p>
        </w:tc>
      </w:tr>
    </w:tbl>
    <w:p w:rsidR="007D49FC" w:rsidRPr="00C907F5" w:rsidRDefault="007D49FC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D49FC" w:rsidRPr="00C907F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0778F"/>
    <w:rsid w:val="00227AB8"/>
    <w:rsid w:val="00227D8A"/>
    <w:rsid w:val="00265949"/>
    <w:rsid w:val="002673F0"/>
    <w:rsid w:val="00276593"/>
    <w:rsid w:val="00287F1D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618AB"/>
    <w:rsid w:val="00ED35F8"/>
    <w:rsid w:val="00ED3CF3"/>
    <w:rsid w:val="00ED523B"/>
    <w:rsid w:val="00EE7054"/>
    <w:rsid w:val="00EE77AB"/>
    <w:rsid w:val="00F01175"/>
    <w:rsid w:val="00F02AC3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1281</Words>
  <Characters>7302</Characters>
  <Application>Microsoft Office Word</Application>
  <DocSecurity>0</DocSecurity>
  <Lines>60</Lines>
  <Paragraphs>17</Paragraphs>
  <ScaleCrop>false</ScaleCrop>
  <Company>TURMOB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205</cp:revision>
  <cp:lastPrinted>2012-08-29T06:03:00Z</cp:lastPrinted>
  <dcterms:created xsi:type="dcterms:W3CDTF">2012-06-01T06:02:00Z</dcterms:created>
  <dcterms:modified xsi:type="dcterms:W3CDTF">2012-09-26T05:19:00Z</dcterms:modified>
</cp:coreProperties>
</file>