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907F5" w:rsidRDefault="0020778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E291B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B4F85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907F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C907F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proofErr w:type="gramEnd"/>
    </w:p>
    <w:p w:rsidR="005204A6" w:rsidRPr="00C907F5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C907F5" w:rsidRDefault="00C907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D49FC" w:rsidRDefault="007D49F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F148E" w:rsidRDefault="005F148E" w:rsidP="005F148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F148E" w:rsidRPr="005F148E" w:rsidRDefault="005F148E" w:rsidP="005F148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KIYMETL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MADEN STANDARTLARI VE RAF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NER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</w:t>
      </w:r>
    </w:p>
    <w:p w:rsidR="005F148E" w:rsidRPr="005F148E" w:rsidRDefault="005F148E" w:rsidP="005F148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TEBL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2006/1)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DE DE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F148E" w:rsidRDefault="005F148E" w:rsidP="005F148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5F148E" w:rsidRPr="005F148E" w:rsidRDefault="005F148E" w:rsidP="005F148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F148E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18/11/2006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tarihli ve 26350 say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 Standartlar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Rafinerileri Hakk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No: 2006/1)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(c), (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), (e), (f), (g) ve (h) bentleri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c)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Madenler: Her 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paladyumu,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) Rafinaj: Hurda halde veya cevherden elde edilen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paladyumun belirli teknikler uygulanmak suretiyle safla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larak uluslararas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kabul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ren standartlara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lmesini,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e)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: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her bin par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paladyumun ise her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 par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 mikro yap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sal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yan saf metal par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 say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f)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maden: Borsaca kabul edilen rafinerilerden birinin amblemi ya da damgas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seri numaras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yan, 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maddesinde belirlenen en az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haiz,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ekilleri Borsaca belirlenen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barlar veya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eler halindeki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platin ve paladyum ile bar,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veya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halindeki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g) Standart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maden: 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maddesinde belirlenen en az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kta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e, bar,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dore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bar,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l, toz veya hurda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eklindeki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paladyumu,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h)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l: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paladyumdan olu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ok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recikleri,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Standart i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ymetli madenler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(l) Borsada; uluslararas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piyasalarda kabul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ren rafineriler ile 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de kurulu rafinerilerin ayar damgas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yan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(2)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her bir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e ve bar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zerinde rafinerinin amblemi ya da damgas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seri numaras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ile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(3) Borsa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mlanan Rafineriler Listesinde yer alan rafinerilere ait en az % </w:t>
      </w: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99.9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ayar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ler;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ambalaj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ambalaj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zerinde 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r, ayar,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ve rafineri ismi ya da amblemi bulunmas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halinde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olarak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(l)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olan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zeysel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zellikleri ile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ekillerini belirlemeye Borsa yetkilidir.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(l)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a)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995/1000,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99.9/100,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c) Platin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99.95/100,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) Paladyum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99.95/100,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olmas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thal edilen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halindeki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madenler; 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evesinde yetkilendirilmi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de kurulu rafineriler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ndan, ithalden sonra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inde ilgili bilgi ve belgelerle Borsaya teslimi, has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 miktar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giri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beyannamesinde belirtilen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ktan az olmamas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Borsaca gerekli kontrol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yla daha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elere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lebilir.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Standart d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ymetli madenler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(1)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standart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 Borsa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ndan belirlenecek esaslar </w:t>
      </w: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8 inci maddesi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(1) Borsa;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a) Yurt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retilen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dore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bar ve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ile standart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 Borsada al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 uyulmas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gereken usul ve esaslar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lastRenderedPageBreak/>
        <w:t>b) Borsa Takas Merkezince standart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ymetli madenlerin Borsa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yelerinin talepleri ve Borsa saklama kasas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stok imk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 kabul ve teslimine ili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kin kurallar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belirlemeye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9 uncu maddesi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(1)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ren standart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madenlerin,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olan ayar raporuna uyumundan, ilgili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ymetli madeni Borsaya teslim eden Borsa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yeleri sorumludur.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(1) Borsada bar,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ve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lleri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uluslararas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rafineriler, Londra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Piyasas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 ve Londra Platin ve Paladyum Piyasas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mlad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listeler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narak Borsaca belirlenir ve liste halinde ilan edilir. Borsa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belirlenen Rafineriler Listesi,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na bildirilir ve 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 konusu listeler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klerine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11 inci maddesinin birinci 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“ğ”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bentleri ile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sermayesinin en az 10 milyon TL olmas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g) Rafinaj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lemlerinde;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995/1000,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% </w:t>
      </w:r>
      <w:proofErr w:type="gramStart"/>
      <w:r w:rsidRPr="005F148E">
        <w:rPr>
          <w:rFonts w:ascii="Times New Roman" w:eastAsia="ヒラギノ明朝 Pro W3" w:hAnsi="Times" w:cs="Times New Roman"/>
          <w:sz w:val="18"/>
          <w:szCs w:val="18"/>
        </w:rPr>
        <w:t>99.9</w:t>
      </w:r>
      <w:proofErr w:type="gramEnd"/>
      <w:r w:rsidRPr="005F148E">
        <w:rPr>
          <w:rFonts w:ascii="Times New Roman" w:eastAsia="ヒラギノ明朝 Pro W3" w:hAnsi="Times" w:cs="Times New Roman"/>
          <w:sz w:val="18"/>
          <w:szCs w:val="18"/>
        </w:rPr>
        <w:t>, platin ve paladyum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% 99.95 ve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zerinde safl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 ayar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elde edilebilecek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retim kapasitesinin kurulmas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) En az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rafinaj faaliyetinde bulunmas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son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lda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30 ton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30 ton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5 ton platin ve paladyum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en az 5 ton paladyum rafine etmi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h) Tesis b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lda en az 50 ton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lda en az 50 ton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platin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lda en az 10 ton platin ve paladyum rafinerisi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lda en az 10 ton paladyum rafine edebilecek kapasitede kurulmas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(3) Yukar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haiz olan rafineriler,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rettikleri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 Borsada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rebilmesi hususunda Borsaya ba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vuruda bulunur. Borsa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vuru sahibinin uluslararas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kabul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ren standartlarda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ymetli maden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retebilmek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in gerekli teknik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artlara ve kapasiteye tam olarak haiz olup olmad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belirlemek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zere bir komisyon olu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turulur. Komisyon,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stanbul Alt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Borsas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Bilim, Sanayi ve Teknoloji Bakanl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Darphane ve Damga Matbaas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, ilgili sanayi odas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ile en az bir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niversitenin </w:t>
      </w:r>
      <w:proofErr w:type="spellStart"/>
      <w:r w:rsidRPr="005F148E">
        <w:rPr>
          <w:rFonts w:ascii="Times New Roman" w:eastAsia="ヒラギノ明朝 Pro W3" w:hAnsi="Times" w:cs="Times New Roman"/>
          <w:sz w:val="18"/>
          <w:szCs w:val="18"/>
        </w:rPr>
        <w:t>metalurji</w:t>
      </w:r>
      <w:proofErr w:type="spellEnd"/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ve kimya b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mleri yetkililerinden olu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ur. Komisyon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yerinde yap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lacak inceleme neticesinde uygunluk raporu d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in 15 inci maddesinin birinci 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(1) Borsada bar,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ve gran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lleri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recek 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de kurulu rafinerilerce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retilen standart 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ymetli madenlerin 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de belirtilen tan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mlara uygunlu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unun denetimine ili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kin usul ve esaslar Borsa taraf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148E" w:rsidRPr="005F148E" w:rsidRDefault="005F148E" w:rsidP="005F148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F148E" w:rsidRPr="005F148E" w:rsidRDefault="005F148E" w:rsidP="005F148E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F148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'n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148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F148E" w:rsidRPr="005F148E" w:rsidRDefault="005F148E" w:rsidP="005F148E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5F148E" w:rsidRPr="005F148E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F148E" w:rsidRPr="005F148E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F148E" w:rsidRPr="005F148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F148E">
              <w:rPr>
                <w:rFonts w:ascii="Times New Roman" w:eastAsia="ヒラギノ明朝 Pro W3" w:hAnsi="Times" w:cs="Times New Roman"/>
                <w:sz w:val="18"/>
                <w:szCs w:val="18"/>
              </w:rPr>
              <w:t>18/11/2006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sz w:val="18"/>
                <w:szCs w:val="18"/>
              </w:rPr>
              <w:t>26350</w:t>
            </w:r>
          </w:p>
        </w:tc>
      </w:tr>
      <w:tr w:rsidR="005F148E" w:rsidRPr="005F148E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F148E" w:rsidRPr="005F148E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F148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F148E" w:rsidRPr="005F148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F148E">
              <w:rPr>
                <w:rFonts w:ascii="Times New Roman" w:eastAsia="ヒラギノ明朝 Pro W3" w:hAnsi="Times" w:cs="Times New Roman"/>
                <w:sz w:val="18"/>
                <w:szCs w:val="18"/>
              </w:rPr>
              <w:t>12/11/2009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8E" w:rsidRPr="005F148E" w:rsidRDefault="005F148E" w:rsidP="005F14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F148E">
              <w:rPr>
                <w:rFonts w:ascii="Times New Roman" w:eastAsia="ヒラギノ明朝 Pro W3" w:hAnsi="Times" w:cs="Times New Roman"/>
                <w:sz w:val="18"/>
                <w:szCs w:val="18"/>
              </w:rPr>
              <w:t>27404</w:t>
            </w:r>
          </w:p>
        </w:tc>
      </w:tr>
    </w:tbl>
    <w:p w:rsidR="005F148E" w:rsidRPr="00C907F5" w:rsidRDefault="005F148E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F148E" w:rsidRPr="00C907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778F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148E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EF264D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1055</Words>
  <Characters>6017</Characters>
  <Application>Microsoft Office Word</Application>
  <DocSecurity>0</DocSecurity>
  <Lines>50</Lines>
  <Paragraphs>14</Paragraphs>
  <ScaleCrop>false</ScaleCrop>
  <Company>TURMOB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207</cp:revision>
  <cp:lastPrinted>2012-08-29T06:03:00Z</cp:lastPrinted>
  <dcterms:created xsi:type="dcterms:W3CDTF">2012-06-01T06:02:00Z</dcterms:created>
  <dcterms:modified xsi:type="dcterms:W3CDTF">2012-09-26T05:20:00Z</dcterms:modified>
</cp:coreProperties>
</file>