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40591" w:rsidRDefault="005C72AF" w:rsidP="00F804A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1D4159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553DD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40591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4059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191281" w:rsidRPr="0054059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proofErr w:type="gramEnd"/>
    </w:p>
    <w:p w:rsidR="00984D22" w:rsidRPr="00540591" w:rsidRDefault="00984D22" w:rsidP="00F804AF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804AF" w:rsidRDefault="00F804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5C72A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5C72AF" w:rsidRPr="005C72AF" w:rsidRDefault="005C72AF" w:rsidP="005C72A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K GENEL TEBL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5C72AF" w:rsidRPr="005C72AF" w:rsidRDefault="005C72AF" w:rsidP="005C72A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(G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)</w:t>
      </w:r>
    </w:p>
    <w:p w:rsidR="005C72AF" w:rsidRPr="005C72AF" w:rsidRDefault="005C72AF" w:rsidP="005C72AF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NO: 99)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, 5015 say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Petrol Piyasas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Kanununun 2 </w:t>
      </w:r>
      <w:proofErr w:type="spellStart"/>
      <w:r w:rsidRPr="005C72A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mlanan ham petrol ve akaryak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lemlerini ger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tirmeye yetkili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klerinin belirlenmesi amac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, 4458 say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Kanununun 10 uncu maddesi ve 5015 say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Petrol Piyasas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Kanununun 9 uncu maddesine dayan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Ham petrol ve akaryak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t ihtisas g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uygulamas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(1) Ham petrol ve akaryak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 serbest dola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lemleri sadece 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da belirtilen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klerinden yap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8"/>
        <w:gridCol w:w="7067"/>
      </w:tblGrid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Antalya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Tekirdağ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İsdemir</w:t>
            </w:r>
            <w:proofErr w:type="spellEnd"/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İskenderun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Hopa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Giresun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Trabzon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Derince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Körfez Petrokimya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Aliağa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Beylikdüzü</w:t>
            </w:r>
            <w:proofErr w:type="spellEnd"/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Akaryakıt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Mersin Akaryakıt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Kırıkkale Orta Anadolu Rafineri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Samsun Gümrük Müdürlüğü</w:t>
            </w:r>
          </w:p>
        </w:tc>
      </w:tr>
      <w:tr w:rsidR="005C72AF" w:rsidRPr="005C72AF">
        <w:trPr>
          <w:trHeight w:val="2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2AF" w:rsidRPr="005C72AF" w:rsidRDefault="005C72AF" w:rsidP="005C72A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2AF" w:rsidRPr="005C72AF" w:rsidRDefault="005C72AF" w:rsidP="005C72A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C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Gemlik Gümrük Müdürlüğü</w:t>
            </w:r>
          </w:p>
        </w:tc>
      </w:tr>
    </w:tbl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sz w:val="18"/>
          <w:szCs w:val="18"/>
        </w:rPr>
        <w:t>(2) Jet 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spellStart"/>
      <w:r w:rsidRPr="005C72A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hrakiye</w:t>
      </w:r>
      <w:proofErr w:type="spellEnd"/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teslimi lisans sahiplerine Enerji Piyasas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zenleme Kurumunca verilen </w:t>
      </w:r>
      <w:proofErr w:type="spellStart"/>
      <w:r w:rsidRPr="005C72AF">
        <w:rPr>
          <w:rFonts w:ascii="Times New Roman" w:eastAsia="ヒラギノ明朝 Pro W3" w:hAnsi="Times" w:cs="Times New Roman"/>
          <w:sz w:val="18"/>
          <w:szCs w:val="18"/>
        </w:rPr>
        <w:t>ihrakiye</w:t>
      </w:r>
      <w:proofErr w:type="spellEnd"/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teslim lisanslar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zel H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mler B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Pazarlama Projeksiyonu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thalat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lacak Akaryak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ü”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alt ba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Jet 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ibaresinin bulunmas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ve pazarlama </w:t>
      </w:r>
      <w:proofErr w:type="gramStart"/>
      <w:r w:rsidRPr="005C72AF">
        <w:rPr>
          <w:rFonts w:ascii="Times New Roman" w:eastAsia="ヒラギノ明朝 Pro W3" w:hAnsi="Times" w:cs="Times New Roman"/>
          <w:sz w:val="18"/>
          <w:szCs w:val="18"/>
        </w:rPr>
        <w:t>projeksiyonuyla</w:t>
      </w:r>
      <w:proofErr w:type="gramEnd"/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uyumlu olmas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z konusu 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 u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aklara verilmesi,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C72AF">
        <w:rPr>
          <w:rFonts w:ascii="Times New Roman" w:eastAsia="ヒラギノ明朝 Pro W3" w:hAnsi="Times" w:cs="Times New Roman"/>
          <w:sz w:val="18"/>
          <w:szCs w:val="18"/>
        </w:rPr>
        <w:t>kayd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yla</w:t>
      </w:r>
      <w:proofErr w:type="gramEnd"/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serbest dola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lemlerinin havalimanlar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nda yetkili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idareleri taraf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sz w:val="18"/>
          <w:szCs w:val="18"/>
        </w:rPr>
        <w:t>(3) Ticarete konu edilmemek kayd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yla getirilen 50 litreye kadar (50 litre 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hil) ham petrol ve akaryak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t, birinci f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zel ve zorunlu durumlar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(G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kler Genel 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) bu Tebli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nda ortaya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zel ve zorunlu durumlar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inceleyip sonu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rmaya yetkilidir.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ğ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5C72AF">
        <w:rPr>
          <w:rFonts w:ascii="Times New Roman" w:eastAsia="ヒラギノ明朝 Pro W3" w:hAnsi="Times" w:cs="Times New Roman"/>
          <w:sz w:val="18"/>
          <w:szCs w:val="18"/>
        </w:rPr>
        <w:t>31/1/2012</w:t>
      </w:r>
      <w:proofErr w:type="gramEnd"/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tarihli ve 28190 say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i (G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lemleri) (Seri No:88) 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5C72AF" w:rsidRPr="005C72AF" w:rsidRDefault="005C72AF" w:rsidP="005C72A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C72A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C72A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C72AF" w:rsidRPr="00540591" w:rsidRDefault="005C72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C72AF" w:rsidRPr="0054059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1281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C72A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360</Words>
  <Characters>2054</Characters>
  <Application>Microsoft Office Word</Application>
  <DocSecurity>0</DocSecurity>
  <Lines>17</Lines>
  <Paragraphs>4</Paragraphs>
  <ScaleCrop>false</ScaleCrop>
  <Company>TURMOB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270</cp:revision>
  <cp:lastPrinted>2012-08-29T06:03:00Z</cp:lastPrinted>
  <dcterms:created xsi:type="dcterms:W3CDTF">2012-06-01T06:02:00Z</dcterms:created>
  <dcterms:modified xsi:type="dcterms:W3CDTF">2012-10-30T08:41:00Z</dcterms:modified>
</cp:coreProperties>
</file>