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FA097D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66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05083B" w:rsidRDefault="0005083B" w:rsidP="0005083B">
      <w:pPr>
        <w:pStyle w:val="3-NormalYaz"/>
        <w:spacing w:line="240" w:lineRule="exact"/>
        <w:jc w:val="left"/>
        <w:rPr>
          <w:b/>
          <w:bCs/>
          <w:sz w:val="18"/>
          <w:szCs w:val="18"/>
        </w:rPr>
      </w:pPr>
    </w:p>
    <w:p w:rsidR="00FA097D" w:rsidRDefault="00FA097D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3593" w:rsidRDefault="00D83593" w:rsidP="00D83593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Gümrük ve Ticaret Bakanlığından:</w:t>
      </w:r>
    </w:p>
    <w:p w:rsidR="00D83593" w:rsidRDefault="00D83593" w:rsidP="00D83593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GÜMRÜK GENEL TEBLİĞİ</w:t>
      </w:r>
    </w:p>
    <w:p w:rsidR="00D83593" w:rsidRDefault="00D83593" w:rsidP="00D83593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(GÜMRÜK İŞLEMLERİ)</w:t>
      </w:r>
    </w:p>
    <w:p w:rsidR="00D83593" w:rsidRDefault="00D83593" w:rsidP="00D83593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(SERİ NO: 100)</w:t>
      </w:r>
    </w:p>
    <w:p w:rsidR="00D83593" w:rsidRDefault="00D83593" w:rsidP="00D835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Amaç ve kapsam</w:t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– </w:t>
      </w:r>
      <w:r>
        <w:rPr>
          <w:sz w:val="18"/>
          <w:szCs w:val="18"/>
        </w:rPr>
        <w:t xml:space="preserve">(1) Bu Tebliğ, </w:t>
      </w:r>
      <w:proofErr w:type="spellStart"/>
      <w:r>
        <w:rPr>
          <w:sz w:val="18"/>
          <w:szCs w:val="18"/>
        </w:rPr>
        <w:t>solvent</w:t>
      </w:r>
      <w:proofErr w:type="spellEnd"/>
      <w:r>
        <w:rPr>
          <w:sz w:val="18"/>
          <w:szCs w:val="18"/>
        </w:rPr>
        <w:t xml:space="preserve"> ve bazı petrol ürünlerinin serbest dolaşıma giriş işlemlerini gerçekleştirmeye yetkili gümrük müdürlüklerinin belirlenmesi amacıyla hazırlanmıştır.</w:t>
      </w:r>
    </w:p>
    <w:p w:rsidR="00D83593" w:rsidRDefault="00D83593" w:rsidP="00D835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– </w:t>
      </w:r>
      <w:r>
        <w:rPr>
          <w:sz w:val="18"/>
          <w:szCs w:val="18"/>
        </w:rPr>
        <w:t>(1) Bu Tebliğ, 4458 sayılı Gümrük Kanununun 10 uncu maddesine dayanılarak hazırlanmıştır.</w:t>
      </w:r>
    </w:p>
    <w:p w:rsidR="00D83593" w:rsidRDefault="00D83593" w:rsidP="00D835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Solvent</w:t>
      </w:r>
      <w:proofErr w:type="spellEnd"/>
      <w:r>
        <w:rPr>
          <w:b/>
          <w:sz w:val="18"/>
          <w:szCs w:val="18"/>
        </w:rPr>
        <w:t xml:space="preserve"> ve bazı petrol ürünleri ihtisas gümrüğü uygulaması</w:t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– </w:t>
      </w:r>
      <w:r>
        <w:rPr>
          <w:sz w:val="18"/>
          <w:szCs w:val="18"/>
        </w:rPr>
        <w:t>(1) Ekli listede Gümrük Tarife İstatistik Pozisyonu ve tanımı yer alan eşyanın serbest dolaşıma giriş işlemleri sadece Doğu Marmara Gümrük ve Ticaret Bölge Müdürlüğüne bağlı Körfez Petrokimya Gümrük Müdürlüğü'nden yapılır.</w:t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Ancak, sanayicilerin kendi ihtiyaçları için getirdikleri tebliğ kapsamı eşyanın serbest dolaşıma girişine ilişkin gümrük işlemleri, aşağıda belirtilen gümrük müdürlüklerinden yaptırılabilir.</w:t>
      </w:r>
    </w:p>
    <w:p w:rsidR="00D83593" w:rsidRDefault="00D83593" w:rsidP="00D83593">
      <w:pPr>
        <w:pStyle w:val="3-NormalYaz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tr-TR"/>
        </w:rPr>
        <w:drawing>
          <wp:inline distT="0" distB="0" distL="0" distR="0">
            <wp:extent cx="4429125" cy="1895475"/>
            <wp:effectExtent l="19050" t="0" r="9525" b="0"/>
            <wp:docPr id="1" name="Resim 1" descr="20121113-1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1113-13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Bu Tebliğ kapsamı ürünlerin aynı zamanda gıda </w:t>
      </w:r>
      <w:proofErr w:type="spellStart"/>
      <w:r>
        <w:rPr>
          <w:sz w:val="18"/>
          <w:szCs w:val="18"/>
        </w:rPr>
        <w:t>sanayiinde</w:t>
      </w:r>
      <w:proofErr w:type="spellEnd"/>
      <w:r>
        <w:rPr>
          <w:sz w:val="18"/>
          <w:szCs w:val="18"/>
        </w:rPr>
        <w:t xml:space="preserve"> kullanılacak olan ürünlerden olması durumunda ithal işlemlerinin, aşağıda belirtilen gümrük müdürlüklerinden yapılması gerekmektedir.</w:t>
      </w:r>
    </w:p>
    <w:p w:rsidR="00D83593" w:rsidRDefault="00D83593" w:rsidP="00D83593">
      <w:pPr>
        <w:pStyle w:val="3-NormalYaz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tr-TR"/>
        </w:rPr>
        <w:drawing>
          <wp:inline distT="0" distB="0" distL="0" distR="0">
            <wp:extent cx="4429125" cy="1495425"/>
            <wp:effectExtent l="19050" t="0" r="9525" b="0"/>
            <wp:docPr id="2" name="Resim 2" descr="20121113-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21113-13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Bu Tebliğ kapsamında yer alan, ancak miktar ve kullanım alanı itibariyle ticari nitelik arz etmeyen 25 kg/25 litre'ye (25 kg/25 litre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) kadar olan eşyanın serbest dolaşıma giriş işlemleri yetkili (A sınıfı) gümrük idarelerinden yapılabilir.</w:t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Soğuk zincir uygulaması ile gelen, +2/+8 derecelerinde saklanması gereken tüp bebek merkezlerinde kullanılan solüsyonlarla birlikte ithal edilen ve tüp bebek </w:t>
      </w:r>
      <w:proofErr w:type="spellStart"/>
      <w:r>
        <w:rPr>
          <w:sz w:val="18"/>
          <w:szCs w:val="18"/>
        </w:rPr>
        <w:t>laboratuvarında</w:t>
      </w:r>
      <w:proofErr w:type="spellEnd"/>
      <w:r>
        <w:rPr>
          <w:sz w:val="18"/>
          <w:szCs w:val="18"/>
        </w:rPr>
        <w:t xml:space="preserve"> solüsyonlarla beraber kullanılan embriyo kültür ortamlarında kullanılmak üzere hazırlanmış özel yağların serbest dolaşıma giriş işlemleri yetkili (A sınıfı) gümrük idarelerinden yapılabilir.</w:t>
      </w:r>
    </w:p>
    <w:p w:rsidR="00D83593" w:rsidRDefault="00D83593" w:rsidP="00D835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</w:t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4 –</w:t>
      </w:r>
      <w:r>
        <w:rPr>
          <w:sz w:val="18"/>
          <w:szCs w:val="18"/>
        </w:rPr>
        <w:t xml:space="preserve"> (1) Gümrük ve Ticaret Bakanlığı (Gümrükler Genel Müdürlüğü) bu Tebliğin uygulanması sırasında ortaya çıkan özel ve zorunlu durumları inceleyip sonuçlandırmaya yetkilidir.</w:t>
      </w:r>
    </w:p>
    <w:p w:rsidR="00D83593" w:rsidRDefault="00D83593" w:rsidP="00D835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Yürürlükten kaldırılan tebliğ</w:t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5 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31/12/2008</w:t>
      </w:r>
      <w:proofErr w:type="gramEnd"/>
      <w:r>
        <w:rPr>
          <w:sz w:val="18"/>
          <w:szCs w:val="18"/>
        </w:rPr>
        <w:t xml:space="preserve"> tarihli ve 27097 (6 </w:t>
      </w:r>
      <w:proofErr w:type="spellStart"/>
      <w:r>
        <w:rPr>
          <w:sz w:val="18"/>
          <w:szCs w:val="18"/>
        </w:rPr>
        <w:t>ncı</w:t>
      </w:r>
      <w:proofErr w:type="spellEnd"/>
      <w:r>
        <w:rPr>
          <w:sz w:val="18"/>
          <w:szCs w:val="18"/>
        </w:rPr>
        <w:t xml:space="preserve"> mükerrer) sayılı Resmî Gazete'de yayımlanan Gümrük Genel Tebliği (Gümrük İşlemleri) (Seri No: 67) yürürlükten kaldırılmıştır.</w:t>
      </w:r>
    </w:p>
    <w:p w:rsidR="00D83593" w:rsidRDefault="00D83593" w:rsidP="00D835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Yürürlük</w:t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MADDE 6 –</w:t>
      </w:r>
      <w:r>
        <w:rPr>
          <w:sz w:val="18"/>
          <w:szCs w:val="18"/>
        </w:rPr>
        <w:t xml:space="preserve"> (1) Bu Tebliğ yayımı tarihinde yürürlüğe girer.</w:t>
      </w:r>
    </w:p>
    <w:p w:rsidR="00D83593" w:rsidRDefault="00D83593" w:rsidP="00D835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Yürütme</w:t>
      </w:r>
    </w:p>
    <w:p w:rsidR="00D83593" w:rsidRDefault="00D83593" w:rsidP="00D835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– </w:t>
      </w:r>
      <w:r>
        <w:rPr>
          <w:sz w:val="18"/>
          <w:szCs w:val="18"/>
        </w:rPr>
        <w:t>(1) Bu Tebliğ hükümlerini Gümrük ve Ticaret Bakanı yürütür.</w:t>
      </w:r>
    </w:p>
    <w:p w:rsidR="00D83593" w:rsidRDefault="00D83593" w:rsidP="00D83593">
      <w:pPr>
        <w:pStyle w:val="3-NormalYaz"/>
        <w:spacing w:line="240" w:lineRule="exact"/>
        <w:jc w:val="center"/>
        <w:rPr>
          <w:sz w:val="18"/>
          <w:szCs w:val="18"/>
        </w:rPr>
      </w:pPr>
    </w:p>
    <w:p w:rsidR="00D83593" w:rsidRDefault="00D83593" w:rsidP="00D83593">
      <w:pPr>
        <w:pStyle w:val="3-NormalYaz"/>
        <w:spacing w:line="240" w:lineRule="exact"/>
        <w:jc w:val="center"/>
        <w:rPr>
          <w:sz w:val="18"/>
          <w:szCs w:val="18"/>
        </w:rPr>
      </w:pPr>
    </w:p>
    <w:p w:rsidR="00D83593" w:rsidRDefault="00D83593" w:rsidP="00D83593">
      <w:pPr>
        <w:pStyle w:val="3-NormalYaz"/>
        <w:spacing w:line="240" w:lineRule="exact"/>
        <w:jc w:val="lef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Eki için tıklayınız.</w:t>
        </w:r>
      </w:hyperlink>
    </w:p>
    <w:p w:rsidR="00D83593" w:rsidRPr="00133609" w:rsidRDefault="00D83593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D83593" w:rsidRPr="0013360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76593"/>
    <w:rsid w:val="00285180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40591"/>
    <w:rsid w:val="00543B62"/>
    <w:rsid w:val="00553DD2"/>
    <w:rsid w:val="00560B90"/>
    <w:rsid w:val="00562290"/>
    <w:rsid w:val="005659EC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5467E"/>
    <w:rsid w:val="00C7406B"/>
    <w:rsid w:val="00C907F5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2/11/20121113-13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358</Words>
  <Characters>2043</Characters>
  <Application>Microsoft Office Word</Application>
  <DocSecurity>0</DocSecurity>
  <Lines>17</Lines>
  <Paragraphs>4</Paragraphs>
  <ScaleCrop>false</ScaleCrop>
  <Company>TURMOB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300</cp:revision>
  <cp:lastPrinted>2012-08-29T06:03:00Z</cp:lastPrinted>
  <dcterms:created xsi:type="dcterms:W3CDTF">2012-06-01T06:02:00Z</dcterms:created>
  <dcterms:modified xsi:type="dcterms:W3CDTF">2012-11-13T06:46:00Z</dcterms:modified>
</cp:coreProperties>
</file>