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7D4B7C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77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D4B7C">
        <w:rPr>
          <w:rFonts w:ascii="Times New Roman" w:eastAsia="ヒラギノ明朝 Pro W3" w:hAnsi="Times" w:cs="Times New Roman"/>
          <w:sz w:val="18"/>
          <w:szCs w:val="18"/>
          <w:u w:val="single"/>
        </w:rPr>
        <w:t>Sermaye Piyasas</w:t>
      </w:r>
      <w:r w:rsidRPr="007D4B7C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Kurulundan:</w:t>
      </w:r>
    </w:p>
    <w:p w:rsidR="007D4B7C" w:rsidRPr="007D4B7C" w:rsidRDefault="007D4B7C" w:rsidP="007D4B7C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YATIRIM FONLARINA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 ESASLAR TEBL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(</w:t>
      </w:r>
      <w:proofErr w:type="gramStart"/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SER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:VII</w:t>
      </w:r>
      <w:proofErr w:type="gramEnd"/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, NO:10)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7D4B7C" w:rsidRPr="007D4B7C" w:rsidRDefault="007D4B7C" w:rsidP="007D4B7C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7D4B7C" w:rsidRPr="007D4B7C" w:rsidRDefault="007D4B7C" w:rsidP="007D4B7C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(</w:t>
      </w:r>
      <w:proofErr w:type="gramStart"/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SER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:VII</w:t>
      </w:r>
      <w:proofErr w:type="gramEnd"/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, NO:44)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7D4B7C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19/12/1996 tarihli ve 22852 say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Seri:VII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>, No:10 say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(iv) bendi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iv) Kurulca uygun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 sermaye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, repo, ters repo,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future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opsiyon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forward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meleri ile kira sertifikalar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5 inci maddesinin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(i) bendinin (a) alt bendi ve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iii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>) bendinin (l) alt bendi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a) Kamu ve/veya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 bor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fonlar "TAHV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L VE BONO FONU", kamu ve/veya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 bor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ortalama vadesi en az 25 en fazla 90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olan fonlar "KISA VADEL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TAHV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 VE BONO FONU",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l) 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ve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an fonlar "FON SEPET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FONU",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5/A maddesinin birinci ve alt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Koruma ama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ndan,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belirli bir b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ya da tamam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nelik olarak olu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turulacak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stratejisinin, kamu bor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lanma senetlerine, ters repoya, banka bor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na, kira sertifikalar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na, ihra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labilir seviyede derecelendirme notuna sahip olan 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 bor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veya korumay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layabilecek nitelikteki Kurulca uygun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 sermaye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ermesi zorunludur.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  <w:proofErr w:type="gramEnd"/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Garantili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koruma ama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edilen kira sertifikalar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ve bor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mlar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bu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42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(a) bendinde yer alan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rlama uygulanmaz.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edilen kira sertifikalar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ve bor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yapan garantili ve koruma ama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unvanlar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konusu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belirtir bir ifadeye yer verirler.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11 inci maddesi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Fon kurulu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tutar art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bir kurucuya ait mevcut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toplam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erleri toplam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kurucunun Kurula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nderilen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denetimden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son mali tablosunda yer alan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zkaynaklar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toplam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30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12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birinci ve ikinci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Kurucu, kendi ad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fonla ilgili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tmek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zere her bir 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en az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iden olu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an bir fon kurulu ve en az bir denet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 atar. Fon kurulu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yeliklerine ve denet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ine kurucu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atama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Fon kurulu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yelerinin ve denet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ilerinin, faaliyet izinlerinin biri veya birden fazlas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rekli veya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ici olarak kald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yahut borsa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inden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rekli olarak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larda sorumlulu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 tespit edilmi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bulunan ki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ilerden olmamalar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bu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10 uncu maddesinin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(e) ve (f) bentlerinde yer alan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gereklidir. Ayr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ca, fon kurulu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yelerinin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unun,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sermaye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en az be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tecr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beye sahip bulunmas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12/A maddesinin be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Tespitleri ve denetleme sonu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ihtiva eden raporlar en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hesap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nemini izleyen 3 ay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inde kurucunun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kurulu ile Fon Kuruluna sunulur ve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konusu raporlardan bilgi edinildi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ilgili kurullarda karara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 Bu raporlar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en az 5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 ile kurucu nezdinde saklanmas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 12/B maddesi olarak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Risk y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netim sistemi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12/B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Vadeli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lem ve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opsiyon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melerine taraf olacak fonlar ile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risk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sistemlerini olu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turmalar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buna ili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kin prosed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rleri yaz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hale getirmeleri zorunludur.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Risk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sistemi, fonun kar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temel risklerin tan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risk tan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mlamalar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zenli olarak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zden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irilmesini ve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nemli geli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melere paralel olarak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ncellenmesini ve maruz kal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nan risklerin tutarl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imkan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verecek bir risk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mekanizmas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geli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tirilmesini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ermelidir.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Risk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netimini ger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tirecek birim kurucu b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nyesinde olu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turulabilece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gibi risk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hizmeti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dan da sa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lanabilir. Ancak her ko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ulda, risk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hizmetini sa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layan birim, fon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netiminden sorumlu birimden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olmal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 Risk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netimini ger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tirecek birimin personelinin Sermaye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Faaliyetleri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leri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zey ve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rev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 Lisans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sahip olmas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lastRenderedPageBreak/>
        <w:t>Risk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sisteminin yeterlili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kin olarak fon denet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isi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rlanan rapor en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hesap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nemini izleyen 3 ay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inde kurucunun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kurulu ile fon kuruluna sunulur ve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konusu raporlardan bilgi edinildi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ilgili kurullarda karara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 Bu raporlar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en az be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 ile kurucu nezdinde saklanmas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netici nezdinde, fonun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mleri ve fon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stratejisi do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rultusunda sa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netilebilmesi amac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 fon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netiminde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rev alacak, fonun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yapabilece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varl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 konusunda yeterli bilgi ve sermaye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en az be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tecr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beye sahip yeterli say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da uzman personelin bulunmas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fon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lemlerinin gerektirdi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ve fonun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ve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amac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mekan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teknik donan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kurulmu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gerekir. Ayr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ca, garantili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n, koruma ama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ve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netimini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stlenecek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netici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irketin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neticilerinden ve fon kurulu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yelerinden en az birer ki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inin ve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konusu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neticilerinin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sermaye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faaliyetleri ileri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zey lisans belgesi ile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rev ara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 lisans belgesine ve bu fonlar konusunda gerekli bilgi ve tecr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beye sahip olmalar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17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esaslar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Kurulca belirlenir.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kayda alma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birlikte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erlendirilir ve sonu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 Kayda alma belgesi, 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ticaret siciline tescil edildi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kin belgenin Kurula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nderilmesini 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teakip verilir. Ancak, bir kurucunun kurucusu olaca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ilk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fonu, ilk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veya ilk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kurulu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kayda alma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erlendirilir ve sonu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36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birim pay fiyat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olarak hesaplanmas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ilan edilmesi esast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klerinde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bulunmak kayd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inde iki fiyat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klanabilir. 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 fon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rlerinden farkl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olarak,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pay fiyatlar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en az ayda bir kere hesaplanmak ve fon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bildirilmek; garantili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ve koruma ama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pay fiyatlar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ise en az ayda iki kere hesaplanmak ve ilan edilmek zorundad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 Kurul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fiyat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olarak hesaplanmas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ve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bu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krada belirtilen haller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da istisna getirebilir. Likit fonlar ve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sa vadeli tahvil ve bono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ndaki fonlarda,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izahname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nca verilen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emirleri, emrin verilmesini takip eden ilk hesaplamada bulunacak pay fiyat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zerinden yerine getirilir. Likit fon ve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sa vadeli tahvil ve bono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ise,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emirleri en son ilan edilen birim pay fiyat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zerinden ger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tirilir. Bununla birlikte, 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klerinde belirtilmek ko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uluyla,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likit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 ve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sa vadeli tahvil ve bono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lemleri farkl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pay fiyat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zerinden ger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tirilebilir.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klerinde,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fona iadesi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pay fiyatlar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ilan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resinden daha farkl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uzun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reler belirlenebilir.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37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 al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-sat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sahipleri,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klerinde belirlenen esaslara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re fona iade etmek suretiyle paraya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evirebilirler. Ayr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nde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m bulunmak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ile kurucunun talebi ve borsan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rmesi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zerine menkul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ymet niteli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verilen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borsada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rebilir.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ve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borsada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remezler,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fona geri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nenler ancak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kte belirlenen ki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ve kurulu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lara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klerinde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bulunmak ve kurallar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olmak ko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uluyla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tasarruf sahipleri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ve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komisyon uygulanabilir. Elde edilecek komisyon tutar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fona, kurucuya,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neticiye veya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arac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eden kurulu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lara gelir olarak kaydedilir.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Kurul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borsalar ve/veya takas kurumlar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nezdinde kurulmu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merkezi bir fon da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platformu arac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 da ger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tirilebilmesini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>, Kurulca uygun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len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bu platforma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edilmesine ve arac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bu platformda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arac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zenlemeler yapabilir.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42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(g) bendi,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(j) bendinin ikinci paragraf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(l) bendi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(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) ve (p) bentleri olarak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daki bentler eklenmi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g) Kurucunun,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neticinin ve bunlar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rudan ve dolayl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tiraklerinin orta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ymet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ortakl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olmak ve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klerinde belirtilmek ko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uluyla;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menkul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ymet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ortakl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%10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una kadar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nabilir.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veya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toplam tutar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bu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karan fonun toplam pay say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%20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sini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amaz. Bir kurucuya ait olan ve/veya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neticinin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netimindeki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toplu olarak, hi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bir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veya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fonunun toplam pay say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%30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undan fazlas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sahip olamazlar.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stanbul Alt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Borsas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ymetli Madenler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ylerindeki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ymetli madenlerin piyasa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erlerinin en fazla %50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si tutar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ndaki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ymetli madenleri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verebilir veya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alabilirler. Ayr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ca, piyasada ger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lemleri kar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alacaklar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temsil etmek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 sertifikalar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oranda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alabilirler ve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ylerinde bulunan sertifikalar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piyasada satarak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yden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karabilirler.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lastRenderedPageBreak/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ymetli maden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lemleri ile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ymetli maden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sertifikas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m-sat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lemleri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konusu piyasadaki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esaslar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ile teminat sistemi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l)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zel fonlar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bu maddenin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yer alan (e) bendi, fon sepeti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(f) ve (g) bentleri,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tirak fonlar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ise (e) ve (f) bentleri uygulanmaz. Endeks fonlar hakk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nda, (a), (e) ve (f) bentleri ile (b) bendinde yer alan %9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luk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rlama,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 konusu menkul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ymetlerin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baz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nan endekse dahil olmas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halinde uygulanmaz. Bu maddenin (b) bendinde yer alan %20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lik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rlaman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ise, endeks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nde yer alan hisse senetleri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baz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nan endekse dahil olmas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 dikkate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nmaz. Sekt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bu maddenin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(a) bendinde yer alan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rlama ilgili sekt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rde faaliyet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steren ortakl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%15 olarak uygulan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) Likit fonlar ile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sa vadeli tahvil ve bono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vadeye kalan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hesaplanamayan varl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 fon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edilemez.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p) Fon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ne, Kurul kayd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bulunan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edilmesi esast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 kadar ki, yabanc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borsalarda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ren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, fon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erinin %10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unu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zere Kurul kayd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nma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 dahil edilebilir.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bu maddede yer alan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tabi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ildir. Bununla birlikte,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ylerine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nacak yabanc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fonlar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ilgili otoriteden izin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olma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r. Bu kapsamda, hangi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lkelerde kurulu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serbest fon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nabilece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ine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kte yer verilir.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 kadar ki, Kurul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ylerine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nacak yabanc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fonlara ili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kin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tlamalar getirebilir.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42/A maddesi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Fon sepeti fonlar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in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42/A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Fon sepeti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mlere uyulmas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a) Tek bir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fonuna ait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eri fon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%25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b) 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 fon sepeti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yapamaz.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c) Fon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nan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veya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bu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karan fonun toplam pay say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%20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sini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d) Kurucu,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netici ve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 veya sermaye bak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bunlarla do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rudan ya da dolayl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olanlar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kurulan veya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netilen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fon sepeti fonu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edilmesi halinde fon sepeti fonu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bu fonlara giri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 da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komisyonu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denemez.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e) Fon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ne, Kurul kayd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bulunan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edilmesi esast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 kadar ki yabanc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borsalarda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ren borsa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Kurul kayd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nma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fon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Fon sepeti fonunda yer alan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ait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erinin, fon toplam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erinin %10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unu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mesi halinde, bu fon sepeti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de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belirlenen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mlere tabi olurlar.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kradaki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mler bu fon sepeti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uygulanmaz.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Fon sepeti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nacak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denen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netim, giri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cretleri bu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49/A maddesi kapsam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belirlenen toplam gider oran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fon sepeti fonunun bir gider kalemi olarak ayr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ca dikkate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45 inci maddesinin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(b) bendinin (i) ve (v) alt bentleri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i) Borsada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ren varl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erleme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nde borsada olu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an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ortalama fiyat ve oranlarla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erlenir.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 kadar ki,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borsada kapan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seans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bulunan varl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erlemesinde kapan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seans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fiyat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v) Portf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ye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nan yabanc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para birimi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 varl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klar,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borsada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erleme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 olu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an fiyatlar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ilgili olduklar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yabanc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paran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T.C. Merkez Bankas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viz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kuru ile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suretiyle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erlenir.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48 inci maddesinin ikinci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“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KAP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ta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ilan edilmesi gereken bilgi ve belgelerin eksiksiz olarak yay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ncel tutulmas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kurucunun sorumlulu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49/A maddesi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Fonlara uygulanan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cret ve komisyonlar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 kamuya a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klanmas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ve fon toplam giderinin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st s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n belirlenmesi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49/A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Fondan kar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lanan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giderlerin (y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>) toplam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st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Ek-5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te fon 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belirtilen azami oranlar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mayacak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nde ve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izahnamesinde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belirlenir. 3, 6, 9 ve 12 ayl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nemlerin son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yla, 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nde ve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izahnamesinde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belirlenen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fon toplam gideri oran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ilgili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neme denk gelen 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p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, ilgili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hesaplanan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ortalama fon toplam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eri esas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narak, kurucu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ndan kontrol edilir.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 kontrolde fon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nde ve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izahnamesinde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belirlenen oranlar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tespiti halinde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an tutar ilgili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nemi takip eden 5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inde kurucu taraf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ndan fona iade edilir.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ade edilen tutar, ilgili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inde takip eden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nemlerin toplam gider oran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nda toplam giderlerden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Fonun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ilk defa halka arz edilmesi veya fonun tasfiye olmas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durumunda, birinci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krada belirtilen kontroller fon kat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 sunulmu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u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nler dikkate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narak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lastRenderedPageBreak/>
        <w:t>3, 6, 9 ve 12 ayl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nemlerin bitiminde hesaplanan fon toplam gider oran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varsa iade tutar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ilgili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nemin bitimini takip eden 6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KAP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ta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ilan edilir.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>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uygulanan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creti ile giri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komisyonlar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kurucunun resmi internet sitesinde ve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KAP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ta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kolayl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 ula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ekilde ilan edilmesi gerekmektedir.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klamada, g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ve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creti oranlar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ile giri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komisyonlar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hangi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artlar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lardan tahsil edilece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bilgilerine ayr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olarak yer verilmelidir.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Bu maddenin birinci, ikinci,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serbest yat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in uygulanmaz.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 ekteki Ek/A, Ek/5 olarak eklenmi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 ge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ici 5 inci madde olarak 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5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1/1/2013 tarihinden itibaren uygulanacak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creti oranlar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 Ek-5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te yer alan tablodaki fon toplam gider oran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st 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narak belirlenmesi, belirlenecek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creti oranlar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KAP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ta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ve kurucunun resmi internet sitesinde ilan edilmesi ve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lacak ilk 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k/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izahname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na bu kapsamda yap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ikliklerin de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edilmesi gerekmektedir.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in 7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, 8 inci, 15 inci ve 17 </w:t>
      </w:r>
      <w:proofErr w:type="spellStart"/>
      <w:r w:rsidRPr="007D4B7C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maddeleri </w:t>
      </w:r>
      <w:proofErr w:type="gramStart"/>
      <w:r w:rsidRPr="007D4B7C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tarihinde, di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er maddeleri yay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D4B7C" w:rsidRPr="007D4B7C" w:rsidRDefault="007D4B7C" w:rsidP="007D4B7C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7D4B7C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mlerini Sermaye Piyasas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 xml:space="preserve"> Kurulu y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D4B7C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D4B7C" w:rsidRPr="007D4B7C" w:rsidRDefault="007D4B7C" w:rsidP="007D4B7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7D4B7C" w:rsidRPr="007D4B7C" w:rsidRDefault="007D4B7C" w:rsidP="007D4B7C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D4B7C">
        <w:rPr>
          <w:rFonts w:ascii="Times New Roman" w:eastAsia="Times New Roman" w:hAnsi="Times New Roman" w:cs="Times New Roman"/>
          <w:sz w:val="18"/>
          <w:szCs w:val="18"/>
          <w:lang w:eastAsia="tr-TR"/>
        </w:rPr>
        <w:t>EK/A</w:t>
      </w:r>
    </w:p>
    <w:p w:rsidR="007D4B7C" w:rsidRPr="007D4B7C" w:rsidRDefault="007D4B7C" w:rsidP="007D4B7C">
      <w:pPr>
        <w:spacing w:after="0" w:line="240" w:lineRule="exact"/>
        <w:ind w:firstLine="629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D4B7C" w:rsidRPr="007D4B7C" w:rsidRDefault="007D4B7C" w:rsidP="007D4B7C">
      <w:pPr>
        <w:spacing w:after="0" w:line="240" w:lineRule="exact"/>
        <w:ind w:firstLine="62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D4B7C">
        <w:rPr>
          <w:rFonts w:ascii="Times New Roman" w:eastAsia="Times New Roman" w:hAnsi="Times New Roman" w:cs="Times New Roman"/>
          <w:sz w:val="18"/>
          <w:szCs w:val="18"/>
          <w:lang w:eastAsia="tr-TR"/>
        </w:rPr>
        <w:t>“</w:t>
      </w:r>
      <w:r w:rsidRPr="007D4B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EK/5</w:t>
      </w:r>
    </w:p>
    <w:p w:rsidR="007D4B7C" w:rsidRPr="007D4B7C" w:rsidRDefault="007D4B7C" w:rsidP="007D4B7C">
      <w:pPr>
        <w:spacing w:after="0" w:line="240" w:lineRule="exact"/>
        <w:ind w:firstLine="62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D4B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Fon Türleri Bazında Uygulanacak Azami Fon Toplam Gider Oranları</w:t>
      </w:r>
    </w:p>
    <w:p w:rsidR="007D4B7C" w:rsidRPr="007D4B7C" w:rsidRDefault="007D4B7C" w:rsidP="007D4B7C">
      <w:pPr>
        <w:spacing w:after="0" w:line="240" w:lineRule="exact"/>
        <w:ind w:firstLine="62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9"/>
        <w:gridCol w:w="2315"/>
        <w:gridCol w:w="1981"/>
      </w:tblGrid>
      <w:tr w:rsidR="007D4B7C" w:rsidRPr="007D4B7C">
        <w:trPr>
          <w:trHeight w:val="20"/>
          <w:jc w:val="center"/>
        </w:trPr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  <w:t>FON TÜRLERİ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  <w:t>Uygulanacak Azami Fon Toplam Gider Oranı</w:t>
            </w:r>
          </w:p>
        </w:tc>
      </w:tr>
      <w:tr w:rsidR="007D4B7C" w:rsidRPr="007D4B7C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tabs>
                <w:tab w:val="center" w:pos="1427"/>
              </w:tabs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  <w:t>Günlük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tabs>
                <w:tab w:val="center" w:pos="1427"/>
              </w:tabs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tr-TR"/>
              </w:rPr>
              <w:t>Yıllık</w:t>
            </w:r>
          </w:p>
        </w:tc>
      </w:tr>
      <w:tr w:rsidR="007D4B7C" w:rsidRPr="007D4B7C">
        <w:trPr>
          <w:trHeight w:val="20"/>
          <w:jc w:val="center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Likit Fonlar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 xml:space="preserve">     </w:t>
            </w:r>
            <w:proofErr w:type="spellStart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 xml:space="preserve"> 3,5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120" w:line="20" w:lineRule="atLeast"/>
              <w:ind w:left="2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%1,28</w:t>
            </w:r>
          </w:p>
        </w:tc>
      </w:tr>
      <w:tr w:rsidR="007D4B7C" w:rsidRPr="007D4B7C">
        <w:trPr>
          <w:trHeight w:val="20"/>
          <w:jc w:val="center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Kısa vadeli tahvil ve bono fonları, endeks fonlar, koruma amaçlı ve garantili fonlar ile altın ve kıymetli maden fonları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ind w:left="2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 xml:space="preserve"> 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ind w:left="2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%2,19</w:t>
            </w:r>
          </w:p>
        </w:tc>
      </w:tr>
      <w:tr w:rsidR="007D4B7C" w:rsidRPr="007D4B7C">
        <w:trPr>
          <w:trHeight w:val="20"/>
          <w:jc w:val="center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Fon sepeti fonları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ind w:left="2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 xml:space="preserve"> 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ind w:left="2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%4,38</w:t>
            </w:r>
          </w:p>
        </w:tc>
      </w:tr>
      <w:tr w:rsidR="007D4B7C" w:rsidRPr="007D4B7C">
        <w:trPr>
          <w:trHeight w:val="20"/>
          <w:jc w:val="center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Diğer fonlar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ind w:left="2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Yüzbinde</w:t>
            </w:r>
            <w:proofErr w:type="spellEnd"/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 xml:space="preserve"> 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B7C" w:rsidRPr="007D4B7C" w:rsidRDefault="007D4B7C" w:rsidP="007D4B7C">
            <w:pPr>
              <w:spacing w:after="0" w:line="20" w:lineRule="atLeast"/>
              <w:ind w:left="28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</w:pPr>
            <w:r w:rsidRPr="007D4B7C">
              <w:rPr>
                <w:rFonts w:ascii="Times New Roman" w:eastAsia="Calibri" w:hAnsi="Times New Roman" w:cs="Times New Roman"/>
                <w:sz w:val="18"/>
                <w:szCs w:val="18"/>
                <w:lang w:eastAsia="tr-TR"/>
              </w:rPr>
              <w:t>%3,65</w:t>
            </w:r>
          </w:p>
        </w:tc>
      </w:tr>
    </w:tbl>
    <w:p w:rsidR="00EA68CC" w:rsidRDefault="00EA68C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A68C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2756</Words>
  <Characters>15711</Characters>
  <Application>Microsoft Office Word</Application>
  <DocSecurity>0</DocSecurity>
  <Lines>130</Lines>
  <Paragraphs>36</Paragraphs>
  <ScaleCrop>false</ScaleCrop>
  <Company>TURMOB</Company>
  <LinksUpToDate>false</LinksUpToDate>
  <CharactersWithSpaces>18431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324</cp:revision>
  <cp:lastPrinted>2012-08-29T06:03:00Z</cp:lastPrinted>
  <dcterms:created xsi:type="dcterms:W3CDTF">2012-06-01T06:02:00Z</dcterms:created>
  <dcterms:modified xsi:type="dcterms:W3CDTF">2012-11-26T06:38:00Z</dcterms:modified>
</cp:coreProperties>
</file>