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382734"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7</w:t>
      </w:r>
      <w:proofErr w:type="gramEnd"/>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FA51DB" w:rsidRDefault="00FA51DB" w:rsidP="00FA51DB">
      <w:pPr>
        <w:tabs>
          <w:tab w:val="left" w:pos="566"/>
        </w:tabs>
        <w:spacing w:after="0" w:line="240" w:lineRule="exact"/>
        <w:ind w:firstLine="566"/>
        <w:rPr>
          <w:rFonts w:ascii="Times New Roman" w:eastAsia="ヒラギノ明朝 Pro W3" w:hAnsi="Times New Roman" w:cs="Times New Roman"/>
          <w:sz w:val="18"/>
          <w:szCs w:val="18"/>
          <w:u w:val="single"/>
        </w:rPr>
      </w:pPr>
      <w:r w:rsidRPr="00FA51DB">
        <w:rPr>
          <w:rFonts w:ascii="Times New Roman" w:eastAsia="ヒラギノ明朝 Pro W3" w:hAnsi="Times New Roman" w:cs="Times New Roman"/>
          <w:sz w:val="18"/>
          <w:szCs w:val="18"/>
          <w:u w:val="single"/>
        </w:rPr>
        <w:t>Para-Kredi ve Koordinasyon Kurulundan:</w:t>
      </w:r>
    </w:p>
    <w:p w:rsidR="00FA51DB" w:rsidRPr="00FA51DB" w:rsidRDefault="00FA51DB" w:rsidP="00FA51DB">
      <w:pPr>
        <w:tabs>
          <w:tab w:val="left" w:pos="566"/>
        </w:tabs>
        <w:spacing w:after="0" w:line="240" w:lineRule="exact"/>
        <w:ind w:firstLine="566"/>
        <w:rPr>
          <w:rFonts w:ascii="Times New Roman" w:eastAsia="ヒラギノ明朝 Pro W3" w:hAnsi="Times New Roman" w:cs="Times New Roman"/>
          <w:sz w:val="18"/>
          <w:szCs w:val="18"/>
          <w:u w:val="single"/>
        </w:rPr>
      </w:pPr>
    </w:p>
    <w:p w:rsidR="00FA51DB" w:rsidRPr="00FA51DB" w:rsidRDefault="00FA51DB" w:rsidP="00FA51DB">
      <w:pPr>
        <w:spacing w:after="0" w:line="240" w:lineRule="exact"/>
        <w:jc w:val="center"/>
        <w:rPr>
          <w:rFonts w:ascii="Times New Roman" w:eastAsia="ヒラギノ明朝 Pro W3" w:hAnsi="Times New Roman" w:cs="Times New Roman"/>
          <w:b/>
          <w:sz w:val="18"/>
          <w:szCs w:val="18"/>
        </w:rPr>
      </w:pPr>
      <w:r w:rsidRPr="00FA51DB">
        <w:rPr>
          <w:rFonts w:ascii="Times New Roman" w:eastAsia="ヒラギノ明朝 Pro W3" w:hAnsi="Times New Roman" w:cs="Times New Roman"/>
          <w:b/>
          <w:sz w:val="18"/>
          <w:szCs w:val="18"/>
        </w:rPr>
        <w:t>TÜRK ÜRÜNLERİNİN YURTDIŞINDA MARKALAŞMASI, TÜRK MALI İMAJININ</w:t>
      </w:r>
    </w:p>
    <w:p w:rsidR="00FA51DB" w:rsidRPr="00FA51DB" w:rsidRDefault="00FA51DB" w:rsidP="00FA51DB">
      <w:pPr>
        <w:spacing w:after="0" w:line="240" w:lineRule="exact"/>
        <w:jc w:val="center"/>
        <w:rPr>
          <w:rFonts w:ascii="Times New Roman" w:eastAsia="ヒラギノ明朝 Pro W3" w:hAnsi="Times New Roman" w:cs="Times New Roman"/>
          <w:b/>
          <w:sz w:val="18"/>
          <w:szCs w:val="18"/>
        </w:rPr>
      </w:pPr>
      <w:r w:rsidRPr="00FA51DB">
        <w:rPr>
          <w:rFonts w:ascii="Times New Roman" w:eastAsia="ヒラギノ明朝 Pro W3" w:hAnsi="Times New Roman" w:cs="Times New Roman"/>
          <w:b/>
          <w:sz w:val="18"/>
          <w:szCs w:val="18"/>
        </w:rPr>
        <w:t>YERLEŞTİRİLMESİ VE TURQUALITY®’NİN DESTEKLENMESİ</w:t>
      </w:r>
    </w:p>
    <w:p w:rsidR="00FA51DB" w:rsidRPr="00FA51DB" w:rsidRDefault="00FA51DB" w:rsidP="00FA51DB">
      <w:pPr>
        <w:spacing w:after="0" w:line="240" w:lineRule="exact"/>
        <w:jc w:val="center"/>
        <w:rPr>
          <w:rFonts w:ascii="Times New Roman" w:eastAsia="ヒラギノ明朝 Pro W3" w:hAnsi="Times New Roman" w:cs="Times New Roman"/>
          <w:b/>
          <w:sz w:val="18"/>
          <w:szCs w:val="18"/>
        </w:rPr>
      </w:pPr>
      <w:r w:rsidRPr="00FA51DB">
        <w:rPr>
          <w:rFonts w:ascii="Times New Roman" w:eastAsia="ヒラギノ明朝 Pro W3" w:hAnsi="Times New Roman" w:cs="Times New Roman"/>
          <w:b/>
          <w:sz w:val="18"/>
          <w:szCs w:val="18"/>
        </w:rPr>
        <w:t>HAKKINDA TEBLİĞ (TEBLİĞ NO: 2006/4)’DE DEĞİŞİKLİK</w:t>
      </w:r>
    </w:p>
    <w:p w:rsidR="00FA51DB" w:rsidRPr="00FA51DB" w:rsidRDefault="00FA51DB" w:rsidP="00FA51DB">
      <w:pPr>
        <w:spacing w:after="0" w:line="240" w:lineRule="exact"/>
        <w:jc w:val="center"/>
        <w:rPr>
          <w:rFonts w:ascii="Times New Roman" w:eastAsia="ヒラギノ明朝 Pro W3" w:hAnsi="Times New Roman" w:cs="Times New Roman"/>
          <w:b/>
          <w:sz w:val="18"/>
          <w:szCs w:val="18"/>
        </w:rPr>
      </w:pPr>
      <w:r w:rsidRPr="00FA51DB">
        <w:rPr>
          <w:rFonts w:ascii="Times New Roman" w:eastAsia="ヒラギノ明朝 Pro W3" w:hAnsi="Times New Roman" w:cs="Times New Roman"/>
          <w:b/>
          <w:sz w:val="18"/>
          <w:szCs w:val="18"/>
        </w:rPr>
        <w:t>YAPILMASINA DAİR TEBLİĞ</w:t>
      </w:r>
    </w:p>
    <w:p w:rsidR="00FA51DB" w:rsidRDefault="00FA51DB" w:rsidP="00FA51DB">
      <w:pPr>
        <w:spacing w:after="0" w:line="240" w:lineRule="exact"/>
        <w:jc w:val="center"/>
        <w:rPr>
          <w:rFonts w:ascii="Times New Roman" w:eastAsia="ヒラギノ明朝 Pro W3" w:hAnsi="Times New Roman" w:cs="Times New Roman"/>
          <w:b/>
          <w:sz w:val="18"/>
          <w:szCs w:val="18"/>
        </w:rPr>
      </w:pPr>
      <w:r w:rsidRPr="00FA51DB">
        <w:rPr>
          <w:rFonts w:ascii="Times New Roman" w:eastAsia="ヒラギノ明朝 Pro W3" w:hAnsi="Times New Roman" w:cs="Times New Roman"/>
          <w:b/>
          <w:sz w:val="18"/>
          <w:szCs w:val="18"/>
        </w:rPr>
        <w:t>(TEBLİĞ NO: 2012/6)</w:t>
      </w:r>
    </w:p>
    <w:p w:rsidR="00FA51DB" w:rsidRPr="00FA51DB" w:rsidRDefault="00FA51DB" w:rsidP="00FA51DB">
      <w:pPr>
        <w:spacing w:after="0" w:line="240" w:lineRule="exact"/>
        <w:jc w:val="center"/>
        <w:rPr>
          <w:rFonts w:ascii="Times New Roman" w:eastAsia="ヒラギノ明朝 Pro W3" w:hAnsi="Times New Roman" w:cs="Times New Roman"/>
          <w:b/>
          <w:sz w:val="18"/>
          <w:szCs w:val="18"/>
        </w:rPr>
      </w:pP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bCs/>
          <w:sz w:val="18"/>
          <w:szCs w:val="18"/>
        </w:rPr>
        <w:t>MADDE 1 –</w:t>
      </w:r>
      <w:r w:rsidRPr="00FA51DB">
        <w:rPr>
          <w:rFonts w:ascii="Times New Roman" w:eastAsia="ヒラギノ明朝 Pro W3" w:hAnsi="Times New Roman" w:cs="Times New Roman"/>
          <w:sz w:val="18"/>
          <w:szCs w:val="18"/>
        </w:rPr>
        <w:t xml:space="preserve"> Bu Tebliğ, Para-Kredi ve Koordinasyon Kurulunun </w:t>
      </w:r>
      <w:proofErr w:type="gramStart"/>
      <w:r w:rsidRPr="00FA51DB">
        <w:rPr>
          <w:rFonts w:ascii="Times New Roman" w:eastAsia="ヒラギノ明朝 Pro W3" w:hAnsi="Times New Roman" w:cs="Times New Roman"/>
          <w:sz w:val="18"/>
          <w:szCs w:val="18"/>
        </w:rPr>
        <w:t>7/12/2012</w:t>
      </w:r>
      <w:proofErr w:type="gramEnd"/>
      <w:r w:rsidRPr="00FA51DB">
        <w:rPr>
          <w:rFonts w:ascii="Times New Roman" w:eastAsia="ヒラギノ明朝 Pro W3" w:hAnsi="Times New Roman" w:cs="Times New Roman"/>
          <w:sz w:val="18"/>
          <w:szCs w:val="18"/>
        </w:rPr>
        <w:t xml:space="preserve"> tarihli ve 2012/9 sayılı Kararına istinaden hazırlanmıştır.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2 – </w:t>
      </w:r>
      <w:proofErr w:type="gramStart"/>
      <w:r w:rsidRPr="00FA51DB">
        <w:rPr>
          <w:rFonts w:ascii="Times New Roman" w:eastAsia="ヒラギノ明朝 Pro W3" w:hAnsi="Times New Roman" w:cs="Times New Roman"/>
          <w:sz w:val="18"/>
          <w:szCs w:val="18"/>
        </w:rPr>
        <w:t>24/5/2006</w:t>
      </w:r>
      <w:proofErr w:type="gramEnd"/>
      <w:r w:rsidRPr="00FA51DB">
        <w:rPr>
          <w:rFonts w:ascii="Times New Roman" w:eastAsia="ヒラギノ明朝 Pro W3" w:hAnsi="Times New Roman" w:cs="Times New Roman"/>
          <w:sz w:val="18"/>
          <w:szCs w:val="18"/>
        </w:rPr>
        <w:t xml:space="preserve"> tarihli ve 26177 sayılı Resmî Gazete’de yayımlanan Türk Ürünlerinin Yurtdışında Markalaşması, Türk Malı İmajının Yerleştirilmesi ve TURQUALITY®’</w:t>
      </w:r>
      <w:proofErr w:type="spellStart"/>
      <w:r w:rsidRPr="00FA51DB">
        <w:rPr>
          <w:rFonts w:ascii="Times New Roman" w:eastAsia="ヒラギノ明朝 Pro W3" w:hAnsi="Times New Roman" w:cs="Times New Roman"/>
          <w:sz w:val="18"/>
          <w:szCs w:val="18"/>
        </w:rPr>
        <w:t>nin</w:t>
      </w:r>
      <w:proofErr w:type="spellEnd"/>
      <w:r w:rsidRPr="00FA51DB">
        <w:rPr>
          <w:rFonts w:ascii="Times New Roman" w:eastAsia="ヒラギノ明朝 Pro W3" w:hAnsi="Times New Roman" w:cs="Times New Roman"/>
          <w:sz w:val="18"/>
          <w:szCs w:val="18"/>
        </w:rPr>
        <w:t xml:space="preserve"> Desteklenmesi Hakkında Tebliğ (Tebliğ No: 2006/4)’in 9 uncu maddesinin birinci fıkrası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“(1) Kuruluşların iştigal sahasına giren ürünlerinin yurtdışı pazarlarda markalaşması amacıyla gerçekleştirecekleri tanıtım, reklam ve pazarlama projelerine ilişkin [görsel ve yazılı tanıtım, gösteri (</w:t>
      </w:r>
      <w:proofErr w:type="spellStart"/>
      <w:r w:rsidRPr="00FA51DB">
        <w:rPr>
          <w:rFonts w:ascii="Times New Roman" w:eastAsia="ヒラギノ明朝 Pro W3" w:hAnsi="Times New Roman" w:cs="Times New Roman"/>
          <w:sz w:val="18"/>
          <w:szCs w:val="18"/>
        </w:rPr>
        <w:t>show</w:t>
      </w:r>
      <w:proofErr w:type="spellEnd"/>
      <w:r w:rsidRPr="00FA51DB">
        <w:rPr>
          <w:rFonts w:ascii="Times New Roman" w:eastAsia="ヒラギノ明朝 Pro W3" w:hAnsi="Times New Roman" w:cs="Times New Roman"/>
          <w:sz w:val="18"/>
          <w:szCs w:val="18"/>
        </w:rPr>
        <w:t>), defile, ülke imaj kampanyası, pazar araştırması, sponsorluk, marka-</w:t>
      </w:r>
      <w:proofErr w:type="gramStart"/>
      <w:r w:rsidRPr="00FA51DB">
        <w:rPr>
          <w:rFonts w:ascii="Times New Roman" w:eastAsia="ヒラギノ明朝 Pro W3" w:hAnsi="Times New Roman" w:cs="Times New Roman"/>
          <w:sz w:val="18"/>
          <w:szCs w:val="18"/>
        </w:rPr>
        <w:t>promosyon</w:t>
      </w:r>
      <w:proofErr w:type="gramEnd"/>
      <w:r w:rsidRPr="00FA51DB">
        <w:rPr>
          <w:rFonts w:ascii="Times New Roman" w:eastAsia="ヒラギノ明朝 Pro W3" w:hAnsi="Times New Roman" w:cs="Times New Roman"/>
          <w:sz w:val="18"/>
          <w:szCs w:val="18"/>
        </w:rPr>
        <w:t xml:space="preserve"> ajansı, fuar katılımı, internet sitesi tasarımı, basın-halkla ilişkiler, stratejik danışmanlık giderleri ve benzeri] harcamaları,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a) Birlikler için %80 oranında ve proje başına yıllık en fazla 250.000 ABD Doları tutarında,</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b) Üretici Dernekleri ve Üretici Birlikleri için %50 oranında ve yıllık en fazla 100.000 ABD Doları tutarında,</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desteklenir</w:t>
      </w:r>
      <w:proofErr w:type="gramEnd"/>
      <w:r w:rsidRPr="00FA51DB">
        <w:rPr>
          <w:rFonts w:ascii="Times New Roman" w:eastAsia="ヒラギノ明朝 Pro W3" w:hAnsi="Times New Roman" w:cs="Times New Roman"/>
          <w:sz w:val="18"/>
          <w:szCs w:val="18"/>
        </w:rPr>
        <w:t>.”</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3 – </w:t>
      </w:r>
      <w:r w:rsidRPr="00FA51DB">
        <w:rPr>
          <w:rFonts w:ascii="Times New Roman" w:eastAsia="ヒラギノ明朝 Pro W3" w:hAnsi="Times New Roman" w:cs="Times New Roman"/>
          <w:sz w:val="18"/>
          <w:szCs w:val="18"/>
        </w:rPr>
        <w:t>Aynı Tebliğin 10 uncu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10 – </w:t>
      </w:r>
      <w:r w:rsidRPr="00FA51DB">
        <w:rPr>
          <w:rFonts w:ascii="Times New Roman" w:eastAsia="ヒラギノ明朝 Pro W3" w:hAnsi="Times New Roman" w:cs="Times New Roman"/>
          <w:sz w:val="18"/>
          <w:szCs w:val="18"/>
        </w:rPr>
        <w:t>(1) Şirketlerin, Bakanlık tarafından Marka Destek Programı kapsamına alındığı tarihten sonra;</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a) Patent, faydalı model ve endüstriyel tasarım tesciline ilişkin harcamaları ile destek kapsamına alınan markalarının yurtdışında tescili ve korunmasına ilişkin giderleri, %50 oranında ve yıllık en fazla 50.000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b) Stratejik İş Planlarında hedef pazarlar olarak belirtecekleri ülkelerde, destek kapsamına alınan markaları ile ilgili olarak gerçekleştirecekleri tanıtım, reklam ve pazarlama faaliyetlerine [görsel ve yazılı tanıtım, gösteri (</w:t>
      </w:r>
      <w:proofErr w:type="spellStart"/>
      <w:r w:rsidRPr="00FA51DB">
        <w:rPr>
          <w:rFonts w:ascii="Times New Roman" w:eastAsia="ヒラギノ明朝 Pro W3" w:hAnsi="Times New Roman" w:cs="Times New Roman"/>
          <w:sz w:val="18"/>
          <w:szCs w:val="18"/>
        </w:rPr>
        <w:t>show</w:t>
      </w:r>
      <w:proofErr w:type="spellEnd"/>
      <w:r w:rsidRPr="00FA51DB">
        <w:rPr>
          <w:rFonts w:ascii="Times New Roman" w:eastAsia="ヒラギノ明朝 Pro W3" w:hAnsi="Times New Roman" w:cs="Times New Roman"/>
          <w:sz w:val="18"/>
          <w:szCs w:val="18"/>
        </w:rPr>
        <w:t>), defile, ülke imaj kampanyası, pazar araştırması, sponsorluk, marka-</w:t>
      </w:r>
      <w:proofErr w:type="gramStart"/>
      <w:r w:rsidRPr="00FA51DB">
        <w:rPr>
          <w:rFonts w:ascii="Times New Roman" w:eastAsia="ヒラギノ明朝 Pro W3" w:hAnsi="Times New Roman" w:cs="Times New Roman"/>
          <w:sz w:val="18"/>
          <w:szCs w:val="18"/>
        </w:rPr>
        <w:t>promosyon</w:t>
      </w:r>
      <w:proofErr w:type="gramEnd"/>
      <w:r w:rsidRPr="00FA51DB">
        <w:rPr>
          <w:rFonts w:ascii="Times New Roman" w:eastAsia="ヒラギノ明朝 Pro W3" w:hAnsi="Times New Roman" w:cs="Times New Roman"/>
          <w:sz w:val="18"/>
          <w:szCs w:val="18"/>
        </w:rPr>
        <w:t xml:space="preserve"> ajansı, zincir marketlerin raflarına girebilmek için bir defaya mahsus ödenen listeleme bedeli, periyodik mağaza dergilerinde yer alma, internet sitesi tasarımı, fuar katılımı, basın-halkla ilişkiler, doğrudan pazarlama (</w:t>
      </w:r>
      <w:proofErr w:type="spellStart"/>
      <w:r w:rsidRPr="00FA51DB">
        <w:rPr>
          <w:rFonts w:ascii="Times New Roman" w:eastAsia="ヒラギノ明朝 Pro W3" w:hAnsi="Times New Roman" w:cs="Times New Roman"/>
          <w:sz w:val="18"/>
          <w:szCs w:val="18"/>
        </w:rPr>
        <w:t>direct</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mailing</w:t>
      </w:r>
      <w:proofErr w:type="spellEnd"/>
      <w:r w:rsidRPr="00FA51DB">
        <w:rPr>
          <w:rFonts w:ascii="Times New Roman" w:eastAsia="ヒラギノ明朝 Pro W3" w:hAnsi="Times New Roman" w:cs="Times New Roman"/>
          <w:sz w:val="18"/>
          <w:szCs w:val="18"/>
        </w:rPr>
        <w:t>), çağrı merkezi hizmeti satın alınması, vb.] ilişkin harcamaları, %50 oranında ve yıllık en fazla 300.000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c) Stratejik İş Planlarında hedef pazarlar olarak belirtecekleri ülkelerde destek kapsamına alınan markaları ile ilgili olarak açtıkları mağaza/lokanta/</w:t>
      </w:r>
      <w:proofErr w:type="spellStart"/>
      <w:r w:rsidRPr="00FA51DB">
        <w:rPr>
          <w:rFonts w:ascii="Times New Roman" w:eastAsia="ヒラギノ明朝 Pro W3" w:hAnsi="Times New Roman" w:cs="Times New Roman"/>
          <w:sz w:val="18"/>
          <w:szCs w:val="18"/>
        </w:rPr>
        <w:t>kafe</w:t>
      </w:r>
      <w:proofErr w:type="spellEnd"/>
      <w:r w:rsidRPr="00FA51DB">
        <w:rPr>
          <w:rFonts w:ascii="Times New Roman" w:eastAsia="ヒラギノ明朝 Pro W3" w:hAnsi="Times New Roman" w:cs="Times New Roman"/>
          <w:sz w:val="18"/>
          <w:szCs w:val="18"/>
        </w:rPr>
        <w:t>, ofis, depo ve satış sonrası servis hizmeti veren birimlere ilişkin;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1) Brüt kira (depo için ardiye gideri, vergi/resim/harç </w:t>
      </w:r>
      <w:proofErr w:type="gramStart"/>
      <w:r w:rsidRPr="00FA51DB">
        <w:rPr>
          <w:rFonts w:ascii="Times New Roman" w:eastAsia="ヒラギノ明朝 Pro W3" w:hAnsi="Times New Roman" w:cs="Times New Roman"/>
          <w:sz w:val="18"/>
          <w:szCs w:val="18"/>
        </w:rPr>
        <w:t>dahil</w:t>
      </w:r>
      <w:proofErr w:type="gramEnd"/>
      <w:r w:rsidRPr="00FA51DB">
        <w:rPr>
          <w:rFonts w:ascii="Times New Roman" w:eastAsia="ヒラギノ明朝 Pro W3" w:hAnsi="Times New Roman" w:cs="Times New Roman"/>
          <w:sz w:val="18"/>
          <w:szCs w:val="18"/>
        </w:rPr>
        <w:t>), belediye giderleri, anılan birimlerin kiralanmasına yönelik uygun mahal araştırması ve komisyon harcamaları ile hukuki danışmanlık giderleri, %50 oranında ve yıllık en fazla 600.000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2) Kiralanan birimin </w:t>
      </w:r>
      <w:proofErr w:type="gramStart"/>
      <w:r w:rsidRPr="00FA51DB">
        <w:rPr>
          <w:rFonts w:ascii="Times New Roman" w:eastAsia="ヒラギノ明朝 Pro W3" w:hAnsi="Times New Roman" w:cs="Times New Roman"/>
          <w:sz w:val="18"/>
          <w:szCs w:val="18"/>
        </w:rPr>
        <w:t>konsept</w:t>
      </w:r>
      <w:proofErr w:type="gramEnd"/>
      <w:r w:rsidRPr="00FA51DB">
        <w:rPr>
          <w:rFonts w:ascii="Times New Roman" w:eastAsia="ヒラギノ明朝 Pro W3" w:hAnsi="Times New Roman" w:cs="Times New Roman"/>
          <w:sz w:val="18"/>
          <w:szCs w:val="18"/>
        </w:rPr>
        <w:t xml:space="preserve"> mimari çalışma ve kurulum/dekorasyon giderleri, %50 oranında ve yıllık en fazla 300.000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ç) Stratejik İş Planlarında hedef pazarlar olarak belirtecekleri ülkelerde faaliyet gösteren ve farklı markaların satıldığı teşhir mekanı (</w:t>
      </w:r>
      <w:proofErr w:type="spellStart"/>
      <w:r w:rsidRPr="00FA51DB">
        <w:rPr>
          <w:rFonts w:ascii="Times New Roman" w:eastAsia="ヒラギノ明朝 Pro W3" w:hAnsi="Times New Roman" w:cs="Times New Roman"/>
          <w:sz w:val="18"/>
          <w:szCs w:val="18"/>
        </w:rPr>
        <w:t>showroom</w:t>
      </w:r>
      <w:proofErr w:type="spellEnd"/>
      <w:r w:rsidRPr="00FA51DB">
        <w:rPr>
          <w:rFonts w:ascii="Times New Roman" w:eastAsia="ヒラギノ明朝 Pro W3" w:hAnsi="Times New Roman" w:cs="Times New Roman"/>
          <w:sz w:val="18"/>
          <w:szCs w:val="18"/>
        </w:rPr>
        <w:t>)/büyük mağazalar (</w:t>
      </w:r>
      <w:proofErr w:type="spellStart"/>
      <w:r w:rsidRPr="00FA51DB">
        <w:rPr>
          <w:rFonts w:ascii="Times New Roman" w:eastAsia="ヒラギノ明朝 Pro W3" w:hAnsi="Times New Roman" w:cs="Times New Roman"/>
          <w:sz w:val="18"/>
          <w:szCs w:val="18"/>
        </w:rPr>
        <w:t>department</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store</w:t>
      </w:r>
      <w:proofErr w:type="spellEnd"/>
      <w:r w:rsidRPr="00FA51DB">
        <w:rPr>
          <w:rFonts w:ascii="Times New Roman" w:eastAsia="ヒラギノ明朝 Pro W3" w:hAnsi="Times New Roman" w:cs="Times New Roman"/>
          <w:sz w:val="18"/>
          <w:szCs w:val="18"/>
        </w:rPr>
        <w:t>)/marketlerde destek kapsamına alınan markalarıyla ilgili olarak kiraladıkları reyon, raf, dekorasyonlu köşe (</w:t>
      </w:r>
      <w:proofErr w:type="spellStart"/>
      <w:r w:rsidRPr="00FA51DB">
        <w:rPr>
          <w:rFonts w:ascii="Times New Roman" w:eastAsia="ヒラギノ明朝 Pro W3" w:hAnsi="Times New Roman" w:cs="Times New Roman"/>
          <w:sz w:val="18"/>
          <w:szCs w:val="18"/>
        </w:rPr>
        <w:t>shop</w:t>
      </w:r>
      <w:proofErr w:type="spellEnd"/>
      <w:r w:rsidRPr="00FA51DB">
        <w:rPr>
          <w:rFonts w:ascii="Times New Roman" w:eastAsia="ヒラギノ明朝 Pro W3" w:hAnsi="Times New Roman" w:cs="Times New Roman"/>
          <w:sz w:val="18"/>
          <w:szCs w:val="18"/>
        </w:rPr>
        <w:t xml:space="preserve"> in </w:t>
      </w:r>
      <w:proofErr w:type="spellStart"/>
      <w:r w:rsidRPr="00FA51DB">
        <w:rPr>
          <w:rFonts w:ascii="Times New Roman" w:eastAsia="ヒラギノ明朝 Pro W3" w:hAnsi="Times New Roman" w:cs="Times New Roman"/>
          <w:sz w:val="18"/>
          <w:szCs w:val="18"/>
        </w:rPr>
        <w:t>shop</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kiosk</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stand</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floor</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display</w:t>
      </w:r>
      <w:proofErr w:type="spellEnd"/>
      <w:r w:rsidRPr="00FA51DB">
        <w:rPr>
          <w:rFonts w:ascii="Times New Roman" w:eastAsia="ヒラギノ明朝 Pro W3" w:hAnsi="Times New Roman" w:cs="Times New Roman"/>
          <w:sz w:val="18"/>
          <w:szCs w:val="18"/>
        </w:rPr>
        <w:t xml:space="preserve">) vb. tahsis edilmiş satış alanlarına ilişkin brüt kira (vergi/resim/harç dahil), belediye giderleri, komisyon, hizmet, </w:t>
      </w:r>
      <w:proofErr w:type="gramStart"/>
      <w:r w:rsidRPr="00FA51DB">
        <w:rPr>
          <w:rFonts w:ascii="Times New Roman" w:eastAsia="ヒラギノ明朝 Pro W3" w:hAnsi="Times New Roman" w:cs="Times New Roman"/>
          <w:sz w:val="18"/>
          <w:szCs w:val="18"/>
        </w:rPr>
        <w:t>konsept</w:t>
      </w:r>
      <w:proofErr w:type="gramEnd"/>
      <w:r w:rsidRPr="00FA51DB">
        <w:rPr>
          <w:rFonts w:ascii="Times New Roman" w:eastAsia="ヒラギノ明朝 Pro W3" w:hAnsi="Times New Roman" w:cs="Times New Roman"/>
          <w:sz w:val="18"/>
          <w:szCs w:val="18"/>
        </w:rPr>
        <w:t xml:space="preserve"> mimari çalışmaları </w:t>
      </w:r>
      <w:proofErr w:type="gramStart"/>
      <w:r w:rsidRPr="00FA51DB">
        <w:rPr>
          <w:rFonts w:ascii="Times New Roman" w:eastAsia="ヒラギノ明朝 Pro W3" w:hAnsi="Times New Roman" w:cs="Times New Roman"/>
          <w:sz w:val="18"/>
          <w:szCs w:val="18"/>
        </w:rPr>
        <w:t>harcamaları</w:t>
      </w:r>
      <w:proofErr w:type="gramEnd"/>
      <w:r w:rsidRPr="00FA51DB">
        <w:rPr>
          <w:rFonts w:ascii="Times New Roman" w:eastAsia="ヒラギノ明朝 Pro W3" w:hAnsi="Times New Roman" w:cs="Times New Roman"/>
          <w:sz w:val="18"/>
          <w:szCs w:val="18"/>
        </w:rPr>
        <w:t xml:space="preserve"> ile anılan birimlerin kiralanmasına yönelik uygun mahal araştırması ile hukuki danışmanlık giderleri ve bu birimlere ilişkin kurulum/dekorasyon giderleri, %50 oranında ve yıllık en fazla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d) Stratejik İş Planlarında hedef pazarlar olarak belirtecekleri ülkelerde destek kapsamına alınan markalı ürünlerinin satışı amacıyla açtıkları teşhir mekanlarına (</w:t>
      </w:r>
      <w:proofErr w:type="spellStart"/>
      <w:r w:rsidRPr="00FA51DB">
        <w:rPr>
          <w:rFonts w:ascii="Times New Roman" w:eastAsia="ヒラギノ明朝 Pro W3" w:hAnsi="Times New Roman" w:cs="Times New Roman"/>
          <w:sz w:val="18"/>
          <w:szCs w:val="18"/>
        </w:rPr>
        <w:t>showroom</w:t>
      </w:r>
      <w:proofErr w:type="spellEnd"/>
      <w:r w:rsidRPr="00FA51DB">
        <w:rPr>
          <w:rFonts w:ascii="Times New Roman" w:eastAsia="ヒラギノ明朝 Pro W3" w:hAnsi="Times New Roman" w:cs="Times New Roman"/>
          <w:sz w:val="18"/>
          <w:szCs w:val="18"/>
        </w:rPr>
        <w:t xml:space="preserve">) ilişkin brüt kira (vergi/resim/harç dahil), belediye giderleri, komisyon, hizmet, </w:t>
      </w:r>
      <w:proofErr w:type="gramStart"/>
      <w:r w:rsidRPr="00FA51DB">
        <w:rPr>
          <w:rFonts w:ascii="Times New Roman" w:eastAsia="ヒラギノ明朝 Pro W3" w:hAnsi="Times New Roman" w:cs="Times New Roman"/>
          <w:sz w:val="18"/>
          <w:szCs w:val="18"/>
        </w:rPr>
        <w:t>konsept</w:t>
      </w:r>
      <w:proofErr w:type="gramEnd"/>
      <w:r w:rsidRPr="00FA51DB">
        <w:rPr>
          <w:rFonts w:ascii="Times New Roman" w:eastAsia="ヒラギノ明朝 Pro W3" w:hAnsi="Times New Roman" w:cs="Times New Roman"/>
          <w:sz w:val="18"/>
          <w:szCs w:val="18"/>
        </w:rPr>
        <w:t xml:space="preserve"> mimari çalışmaları harcamaları ile anılan birimlerin kiralanmasına yönelik uygun mahal araştırması ile hukuki danışmanlık giderleri ve bu birimlere ilişkin kurulum/dekorasyon giderleri, %50 oranında ve yıllık en fazla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e) Çevre, kalite ve insan sağlığına yönelik teknik mevzuata uyum sağlanabilmesi ve mağaza/lokanta/</w:t>
      </w:r>
      <w:proofErr w:type="spellStart"/>
      <w:r w:rsidRPr="00FA51DB">
        <w:rPr>
          <w:rFonts w:ascii="Times New Roman" w:eastAsia="ヒラギノ明朝 Pro W3" w:hAnsi="Times New Roman" w:cs="Times New Roman"/>
          <w:sz w:val="18"/>
          <w:szCs w:val="18"/>
        </w:rPr>
        <w:t>kafe</w:t>
      </w:r>
      <w:proofErr w:type="spellEnd"/>
      <w:r w:rsidRPr="00FA51DB">
        <w:rPr>
          <w:rFonts w:ascii="Times New Roman" w:eastAsia="ヒラギノ明朝 Pro W3" w:hAnsi="Times New Roman" w:cs="Times New Roman"/>
          <w:sz w:val="18"/>
          <w:szCs w:val="18"/>
        </w:rPr>
        <w:t xml:space="preserve"> açılışı ve işletilmesini </w:t>
      </w:r>
      <w:proofErr w:type="spellStart"/>
      <w:r w:rsidRPr="00FA51DB">
        <w:rPr>
          <w:rFonts w:ascii="Times New Roman" w:eastAsia="ヒラギノ明朝 Pro W3" w:hAnsi="Times New Roman" w:cs="Times New Roman"/>
          <w:sz w:val="18"/>
          <w:szCs w:val="18"/>
        </w:rPr>
        <w:t>teminen</w:t>
      </w:r>
      <w:proofErr w:type="spellEnd"/>
      <w:r w:rsidRPr="00FA51DB">
        <w:rPr>
          <w:rFonts w:ascii="Times New Roman" w:eastAsia="ヒラギノ明朝 Pro W3" w:hAnsi="Times New Roman" w:cs="Times New Roman"/>
          <w:sz w:val="18"/>
          <w:szCs w:val="18"/>
        </w:rPr>
        <w:t xml:space="preserve"> gerçekleştirilen; kalite, </w:t>
      </w:r>
      <w:proofErr w:type="gramStart"/>
      <w:r w:rsidRPr="00FA51DB">
        <w:rPr>
          <w:rFonts w:ascii="Times New Roman" w:eastAsia="ヒラギノ明朝 Pro W3" w:hAnsi="Times New Roman" w:cs="Times New Roman"/>
          <w:sz w:val="18"/>
          <w:szCs w:val="18"/>
        </w:rPr>
        <w:t>hijyen</w:t>
      </w:r>
      <w:proofErr w:type="gramEnd"/>
      <w:r w:rsidRPr="00FA51DB">
        <w:rPr>
          <w:rFonts w:ascii="Times New Roman" w:eastAsia="ヒラギノ明朝 Pro W3" w:hAnsi="Times New Roman" w:cs="Times New Roman"/>
          <w:sz w:val="18"/>
          <w:szCs w:val="18"/>
        </w:rPr>
        <w:t>, çevre belgeleri ile insan can, mal emniyeti, ve güvenliğini gösterir işaretlere ilişkin danışmanlık dahil her türlü giderleri, %50 oranında ve yıllık en fazla 50.000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f) Destek kapsamına alınan markaları ile ilgili olarak </w:t>
      </w:r>
      <w:proofErr w:type="spellStart"/>
      <w:r w:rsidRPr="00FA51DB">
        <w:rPr>
          <w:rFonts w:ascii="Times New Roman" w:eastAsia="ヒラギノ明朝 Pro W3" w:hAnsi="Times New Roman" w:cs="Times New Roman"/>
          <w:sz w:val="18"/>
          <w:szCs w:val="18"/>
        </w:rPr>
        <w:t>franchise</w:t>
      </w:r>
      <w:proofErr w:type="spellEnd"/>
      <w:r w:rsidRPr="00FA51DB">
        <w:rPr>
          <w:rFonts w:ascii="Times New Roman" w:eastAsia="ヒラギノ明朝 Pro W3" w:hAnsi="Times New Roman" w:cs="Times New Roman"/>
          <w:sz w:val="18"/>
          <w:szCs w:val="18"/>
        </w:rPr>
        <w:t xml:space="preserve"> vermeleri halinde, </w:t>
      </w:r>
      <w:proofErr w:type="spellStart"/>
      <w:r w:rsidRPr="00FA51DB">
        <w:rPr>
          <w:rFonts w:ascii="Times New Roman" w:eastAsia="ヒラギノ明朝 Pro W3" w:hAnsi="Times New Roman" w:cs="Times New Roman"/>
          <w:sz w:val="18"/>
          <w:szCs w:val="18"/>
        </w:rPr>
        <w:t>franchising</w:t>
      </w:r>
      <w:proofErr w:type="spellEnd"/>
      <w:r w:rsidRPr="00FA51DB">
        <w:rPr>
          <w:rFonts w:ascii="Times New Roman" w:eastAsia="ヒラギノ明朝 Pro W3" w:hAnsi="Times New Roman" w:cs="Times New Roman"/>
          <w:sz w:val="18"/>
          <w:szCs w:val="18"/>
        </w:rPr>
        <w:t xml:space="preserve"> sistemi ile yurtdışında açılacak ve faaliyete geçirilecek yıllık en fazla 10 mağazaya ilişkin;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1) Kurulum/dekorasyon harcamaları, %50 oranında ve mağaza başına en fazla 50.000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2) Kira giderleri %50 oranında, mağaza başına en fazla iki yıl süresince ve yıllık mağaza başına azami 50.000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lastRenderedPageBreak/>
        <w:t xml:space="preserve">g) Kurumsal kimlik oluşturulması, stratejik şirket yapılandırılması, kalite kontrol sistemi oluşturulması, moda ve </w:t>
      </w:r>
      <w:proofErr w:type="gramStart"/>
      <w:r w:rsidRPr="00FA51DB">
        <w:rPr>
          <w:rFonts w:ascii="Times New Roman" w:eastAsia="ヒラギノ明朝 Pro W3" w:hAnsi="Times New Roman" w:cs="Times New Roman"/>
          <w:sz w:val="18"/>
          <w:szCs w:val="18"/>
        </w:rPr>
        <w:t>trendler</w:t>
      </w:r>
      <w:proofErr w:type="gramEnd"/>
      <w:r w:rsidRPr="00FA51DB">
        <w:rPr>
          <w:rFonts w:ascii="Times New Roman" w:eastAsia="ヒラギノ明朝 Pro W3" w:hAnsi="Times New Roman" w:cs="Times New Roman"/>
          <w:sz w:val="18"/>
          <w:szCs w:val="18"/>
        </w:rPr>
        <w:t>, gastronomi, ürün ve ambalaj tasarımı, stratejik pazarlama, perakende operasyonlar, şirket kuruluşu, mağaza açılması ve işletilmesi, uluslararası ihracat ve hukuk, risk yönetimi, uluslararası pazarlarda rekabet avantajını artırıcı diğer her türlü iş yönetimi kapsamında satın alacakları danışmanlık giderleri ile Bilgisayarlı Tasarım (CAD), Kurumsal Kaynak Planlaması (ERP), Tedarik Zinciri Yönetimi (SCM), Müşteri İlişkileri Yönetimi (CRM), Kurumsal Performans Yönetimi (EPM), Perakende Yönetimi vb. bilgi yönetimi kapsamında satın alacakları veya kiralayacakları yazılım ürünlerinin lisansları ve bunların yıllık bakım-güncelleme bedelleri ile yazılımların devreye alınması, iyileştirilmesi ve idamesi için yapacakları danışmanlık, eğitim ve dış kaynak kullanımı harcamaları, %50 oranında ve yıllık en fazla 500.000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ğ) Destek kapsamına alınan markalı ürünleriyle ilgili, destek kapsamındaki şirket veya harcama yetkisi verilen şirket tarafından istihdam edilen moda/endüstriyel ürün tasarımcısı, aşçı/şef giderleri, aynı anda azami 3 kişi için, %50 oranında ve yıllık en fazla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h) Şirketlerin bu maddenin birinci fıkrasının (c), (ç) ve (d) bentleri çerçevesinde açtıkları birimlerinin kirasının ciroya (depo için kullanılan palet miktarına) bağlı olması durumunda; Bakanlık tarafından uygun görülen temel kira tutarı [temel kira uygulamasının bulunmadığı birimlerde, yalnızca cironun yüzdesinden oluşan (depo için kullanılan palet miktarına göre hesaplanan) ve Bakanlık tarafından incelenen ilk kira tutarı, temel kira kabul edilir] ile söz konusu temel kira tutarının %50’sine kadar olan ciro kirası, ilgili bentlerde belirtilen limitler dâhilinde,</w:t>
      </w:r>
      <w:proofErr w:type="gramEnd"/>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desteklenir</w:t>
      </w:r>
      <w:proofErr w:type="gramEnd"/>
      <w:r w:rsidRPr="00FA51DB">
        <w:rPr>
          <w:rFonts w:ascii="Times New Roman" w:eastAsia="ヒラギノ明朝 Pro W3" w:hAnsi="Times New Roman" w:cs="Times New Roman"/>
          <w:sz w:val="18"/>
          <w:szCs w:val="18"/>
        </w:rPr>
        <w:t>.</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(2) Şirketlerin bu maddenin birinci fıkrasında düzenlenen desteklerden yararlanabilmesi için; kapsamdaki markalarına ve ilgili destek dönemine ilişkin olarak, Bakanlık tarafından yetkilendirilen danışmanlık şirketlerince gerçekleştirilecek Gelişim Yol Haritası çalışmasını yaptırmaları zorunludur. Şirketlerin bu fıkra uyarınca yaptığı harcamalar, ilgili destek dönemi için en fazla 200.000 ABD Doları ve %75 oranında desteklenir. Bu maddenin uygulanmasına ilişkin usul ve esaslar Bakanlık tarafından belirlenir.”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4 –</w:t>
      </w:r>
      <w:r w:rsidRPr="00FA51DB">
        <w:rPr>
          <w:rFonts w:ascii="Times New Roman" w:eastAsia="ヒラギノ明朝 Pro W3" w:hAnsi="Times New Roman" w:cs="Times New Roman"/>
          <w:sz w:val="18"/>
          <w:szCs w:val="18"/>
        </w:rPr>
        <w:t xml:space="preserve"> Aynı Tebliğin 11 inci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11 –</w:t>
      </w:r>
      <w:r w:rsidRPr="00FA51DB">
        <w:rPr>
          <w:rFonts w:ascii="Times New Roman" w:eastAsia="ヒラギノ明朝 Pro W3" w:hAnsi="Times New Roman" w:cs="Times New Roman"/>
          <w:sz w:val="18"/>
          <w:szCs w:val="18"/>
        </w:rPr>
        <w:t xml:space="preserve"> (1) TURQUALITY® Komitesi tarafından TURQUALITY® destek programı kapsamına alınan şirketlerin;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a) Patent, faydalı model ve endüstriyel tasarım tesciline ilişkin harcamaları ile TURQUALITY® Sertifikasını haiz markalarının yurtdışında tescili ve korunmasına ilişkin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b) Çevre, kalite ve insan sağlığına yönelik teknik mevzuata uyum sağlanabilmesi ve mağaza/lokanta/</w:t>
      </w:r>
      <w:proofErr w:type="spellStart"/>
      <w:r w:rsidRPr="00FA51DB">
        <w:rPr>
          <w:rFonts w:ascii="Times New Roman" w:eastAsia="ヒラギノ明朝 Pro W3" w:hAnsi="Times New Roman" w:cs="Times New Roman"/>
          <w:sz w:val="18"/>
          <w:szCs w:val="18"/>
        </w:rPr>
        <w:t>kafe</w:t>
      </w:r>
      <w:proofErr w:type="spellEnd"/>
      <w:r w:rsidRPr="00FA51DB">
        <w:rPr>
          <w:rFonts w:ascii="Times New Roman" w:eastAsia="ヒラギノ明朝 Pro W3" w:hAnsi="Times New Roman" w:cs="Times New Roman"/>
          <w:sz w:val="18"/>
          <w:szCs w:val="18"/>
        </w:rPr>
        <w:t xml:space="preserve"> açılışı ve işletilmesini </w:t>
      </w:r>
      <w:proofErr w:type="spellStart"/>
      <w:r w:rsidRPr="00FA51DB">
        <w:rPr>
          <w:rFonts w:ascii="Times New Roman" w:eastAsia="ヒラギノ明朝 Pro W3" w:hAnsi="Times New Roman" w:cs="Times New Roman"/>
          <w:sz w:val="18"/>
          <w:szCs w:val="18"/>
        </w:rPr>
        <w:t>teminen</w:t>
      </w:r>
      <w:proofErr w:type="spellEnd"/>
      <w:r w:rsidRPr="00FA51DB">
        <w:rPr>
          <w:rFonts w:ascii="Times New Roman" w:eastAsia="ヒラギノ明朝 Pro W3" w:hAnsi="Times New Roman" w:cs="Times New Roman"/>
          <w:sz w:val="18"/>
          <w:szCs w:val="18"/>
        </w:rPr>
        <w:t xml:space="preserve"> gerçekleştirilen; kalite, </w:t>
      </w:r>
      <w:proofErr w:type="gramStart"/>
      <w:r w:rsidRPr="00FA51DB">
        <w:rPr>
          <w:rFonts w:ascii="Times New Roman" w:eastAsia="ヒラギノ明朝 Pro W3" w:hAnsi="Times New Roman" w:cs="Times New Roman"/>
          <w:sz w:val="18"/>
          <w:szCs w:val="18"/>
        </w:rPr>
        <w:t>hijyen</w:t>
      </w:r>
      <w:proofErr w:type="gramEnd"/>
      <w:r w:rsidRPr="00FA51DB">
        <w:rPr>
          <w:rFonts w:ascii="Times New Roman" w:eastAsia="ヒラギノ明朝 Pro W3" w:hAnsi="Times New Roman" w:cs="Times New Roman"/>
          <w:sz w:val="18"/>
          <w:szCs w:val="18"/>
        </w:rPr>
        <w:t>, çevre belgeleri ile insan can, mal emniyeti, ve güvenliğini gösterir işaretlere ilişkin danışmanlık dahil her türlü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c) TURQUALITY® Sertifikasını haiz markalı ürünleriyle ilgili, destek kapsamındaki şirket veya harcama yetkisi verilen şirket tarafından istihdam edilen moda/endüstriyel ürün tasarımcısı, aşçı/şef giderleri, aynı anda azami 5 kişi için,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ç) TURQUALITY® Sertifikasını haiz markalı ürünleriyle ilgili olarak Stratejik İş Planlarında hedef pazarlar olarak belirtecekleri ülkelerde gerçekleştirilen tanıtım, reklam ve pazarlama faaliyetlerine [görsel ve yazılı tanıtım, gösteri (</w:t>
      </w:r>
      <w:proofErr w:type="spellStart"/>
      <w:r w:rsidRPr="00FA51DB">
        <w:rPr>
          <w:rFonts w:ascii="Times New Roman" w:eastAsia="ヒラギノ明朝 Pro W3" w:hAnsi="Times New Roman" w:cs="Times New Roman"/>
          <w:sz w:val="18"/>
          <w:szCs w:val="18"/>
        </w:rPr>
        <w:t>show</w:t>
      </w:r>
      <w:proofErr w:type="spellEnd"/>
      <w:r w:rsidRPr="00FA51DB">
        <w:rPr>
          <w:rFonts w:ascii="Times New Roman" w:eastAsia="ヒラギノ明朝 Pro W3" w:hAnsi="Times New Roman" w:cs="Times New Roman"/>
          <w:sz w:val="18"/>
          <w:szCs w:val="18"/>
        </w:rPr>
        <w:t>), defile, fuar katılımı, ülke imaj kampanyası, pazar araştırması, sponsorluk, marka-</w:t>
      </w:r>
      <w:proofErr w:type="gramStart"/>
      <w:r w:rsidRPr="00FA51DB">
        <w:rPr>
          <w:rFonts w:ascii="Times New Roman" w:eastAsia="ヒラギノ明朝 Pro W3" w:hAnsi="Times New Roman" w:cs="Times New Roman"/>
          <w:sz w:val="18"/>
          <w:szCs w:val="18"/>
        </w:rPr>
        <w:t>promosyon</w:t>
      </w:r>
      <w:proofErr w:type="gramEnd"/>
      <w:r w:rsidRPr="00FA51DB">
        <w:rPr>
          <w:rFonts w:ascii="Times New Roman" w:eastAsia="ヒラギノ明朝 Pro W3" w:hAnsi="Times New Roman" w:cs="Times New Roman"/>
          <w:sz w:val="18"/>
          <w:szCs w:val="18"/>
        </w:rPr>
        <w:t xml:space="preserve"> ajansı, zincir marketlerin raflarına girebilmek için bir defaya mahsus ödenen listeleme bedeli, periyodik mağaza dergilerinde yer alma, internet sitesi tasarımı, basın-halkla ilişkiler, doğrudan pazarlama (</w:t>
      </w:r>
      <w:proofErr w:type="spellStart"/>
      <w:r w:rsidRPr="00FA51DB">
        <w:rPr>
          <w:rFonts w:ascii="Times New Roman" w:eastAsia="ヒラギノ明朝 Pro W3" w:hAnsi="Times New Roman" w:cs="Times New Roman"/>
          <w:sz w:val="18"/>
          <w:szCs w:val="18"/>
        </w:rPr>
        <w:t>direct</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mailing</w:t>
      </w:r>
      <w:proofErr w:type="spellEnd"/>
      <w:r w:rsidRPr="00FA51DB">
        <w:rPr>
          <w:rFonts w:ascii="Times New Roman" w:eastAsia="ヒラギノ明朝 Pro W3" w:hAnsi="Times New Roman" w:cs="Times New Roman"/>
          <w:sz w:val="18"/>
          <w:szCs w:val="18"/>
        </w:rPr>
        <w:t>), çağrı merkezi hizmeti satın alınması, vb.] ilişkin harcamaları,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d) TURQUALITY® Sertifikasını haiz markalı ürünleriyle ilgili olarak Stratejik İş Planlarında hedef pazarlar olarak belirtilen ülkelerde;</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1) Açtıkları, aynı anda azami 50 adet mağaza/lokanta/</w:t>
      </w:r>
      <w:proofErr w:type="spellStart"/>
      <w:r w:rsidRPr="00FA51DB">
        <w:rPr>
          <w:rFonts w:ascii="Times New Roman" w:eastAsia="ヒラギノ明朝 Pro W3" w:hAnsi="Times New Roman" w:cs="Times New Roman"/>
          <w:sz w:val="18"/>
          <w:szCs w:val="18"/>
        </w:rPr>
        <w:t>kafeye</w:t>
      </w:r>
      <w:proofErr w:type="spellEnd"/>
      <w:r w:rsidRPr="00FA51DB">
        <w:rPr>
          <w:rFonts w:ascii="Times New Roman" w:eastAsia="ヒラギノ明朝 Pro W3" w:hAnsi="Times New Roman" w:cs="Times New Roman"/>
          <w:sz w:val="18"/>
          <w:szCs w:val="18"/>
        </w:rPr>
        <w:t xml:space="preserve"> ilişkin;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i) Brüt kira (depo için ardiye gideri, vergi/resim/harç </w:t>
      </w:r>
      <w:proofErr w:type="gramStart"/>
      <w:r w:rsidRPr="00FA51DB">
        <w:rPr>
          <w:rFonts w:ascii="Times New Roman" w:eastAsia="ヒラギノ明朝 Pro W3" w:hAnsi="Times New Roman" w:cs="Times New Roman"/>
          <w:sz w:val="18"/>
          <w:szCs w:val="18"/>
        </w:rPr>
        <w:t>dahil</w:t>
      </w:r>
      <w:proofErr w:type="gramEnd"/>
      <w:r w:rsidRPr="00FA51DB">
        <w:rPr>
          <w:rFonts w:ascii="Times New Roman" w:eastAsia="ヒラギノ明朝 Pro W3" w:hAnsi="Times New Roman" w:cs="Times New Roman"/>
          <w:sz w:val="18"/>
          <w:szCs w:val="18"/>
        </w:rPr>
        <w:t>), belediye giderleri, anılan birimlerin kiralanmasına yönelik uygun mahal araştırması ve komisyon harcamaları ile hukuki danışmanlık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FA51DB">
        <w:rPr>
          <w:rFonts w:ascii="Times New Roman" w:eastAsia="ヒラギノ明朝 Pro W3" w:hAnsi="Times New Roman" w:cs="Times New Roman"/>
          <w:sz w:val="18"/>
          <w:szCs w:val="18"/>
        </w:rPr>
        <w:t>ii</w:t>
      </w:r>
      <w:proofErr w:type="spellEnd"/>
      <w:r w:rsidRPr="00FA51DB">
        <w:rPr>
          <w:rFonts w:ascii="Times New Roman" w:eastAsia="ヒラギノ明朝 Pro W3" w:hAnsi="Times New Roman" w:cs="Times New Roman"/>
          <w:sz w:val="18"/>
          <w:szCs w:val="18"/>
        </w:rPr>
        <w:t xml:space="preserve">) Kiralanan birimin </w:t>
      </w:r>
      <w:proofErr w:type="gramStart"/>
      <w:r w:rsidRPr="00FA51DB">
        <w:rPr>
          <w:rFonts w:ascii="Times New Roman" w:eastAsia="ヒラギノ明朝 Pro W3" w:hAnsi="Times New Roman" w:cs="Times New Roman"/>
          <w:sz w:val="18"/>
          <w:szCs w:val="18"/>
        </w:rPr>
        <w:t>konsept</w:t>
      </w:r>
      <w:proofErr w:type="gramEnd"/>
      <w:r w:rsidRPr="00FA51DB">
        <w:rPr>
          <w:rFonts w:ascii="Times New Roman" w:eastAsia="ヒラギノ明朝 Pro W3" w:hAnsi="Times New Roman" w:cs="Times New Roman"/>
          <w:sz w:val="18"/>
          <w:szCs w:val="18"/>
        </w:rPr>
        <w:t xml:space="preserve"> mimari çalışma ve kurulum/dekorasyon giderleri, mağaza/lokanta/</w:t>
      </w:r>
      <w:proofErr w:type="spellStart"/>
      <w:r w:rsidRPr="00FA51DB">
        <w:rPr>
          <w:rFonts w:ascii="Times New Roman" w:eastAsia="ヒラギノ明朝 Pro W3" w:hAnsi="Times New Roman" w:cs="Times New Roman"/>
          <w:sz w:val="18"/>
          <w:szCs w:val="18"/>
        </w:rPr>
        <w:t>kafe</w:t>
      </w:r>
      <w:proofErr w:type="spellEnd"/>
      <w:r w:rsidRPr="00FA51DB">
        <w:rPr>
          <w:rFonts w:ascii="Times New Roman" w:eastAsia="ヒラギノ明朝 Pro W3" w:hAnsi="Times New Roman" w:cs="Times New Roman"/>
          <w:sz w:val="18"/>
          <w:szCs w:val="18"/>
        </w:rPr>
        <w:t xml:space="preserve"> başına azami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2) Açtıkları ofis, depo, </w:t>
      </w:r>
      <w:proofErr w:type="spellStart"/>
      <w:r w:rsidRPr="00FA51DB">
        <w:rPr>
          <w:rFonts w:ascii="Times New Roman" w:eastAsia="ヒラギノ明朝 Pro W3" w:hAnsi="Times New Roman" w:cs="Times New Roman"/>
          <w:sz w:val="18"/>
          <w:szCs w:val="18"/>
        </w:rPr>
        <w:t>showroom</w:t>
      </w:r>
      <w:proofErr w:type="spellEnd"/>
      <w:r w:rsidRPr="00FA51DB">
        <w:rPr>
          <w:rFonts w:ascii="Times New Roman" w:eastAsia="ヒラギノ明朝 Pro W3" w:hAnsi="Times New Roman" w:cs="Times New Roman"/>
          <w:sz w:val="18"/>
          <w:szCs w:val="18"/>
        </w:rPr>
        <w:t xml:space="preserve">, satış sonrası servis hizmeti veren birimler ile farklı markaların satıldığı teşhir </w:t>
      </w:r>
      <w:proofErr w:type="gramStart"/>
      <w:r w:rsidRPr="00FA51DB">
        <w:rPr>
          <w:rFonts w:ascii="Times New Roman" w:eastAsia="ヒラギノ明朝 Pro W3" w:hAnsi="Times New Roman" w:cs="Times New Roman"/>
          <w:sz w:val="18"/>
          <w:szCs w:val="18"/>
        </w:rPr>
        <w:t>mekanı</w:t>
      </w:r>
      <w:proofErr w:type="gram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showroom</w:t>
      </w:r>
      <w:proofErr w:type="spellEnd"/>
      <w:r w:rsidRPr="00FA51DB">
        <w:rPr>
          <w:rFonts w:ascii="Times New Roman" w:eastAsia="ヒラギノ明朝 Pro W3" w:hAnsi="Times New Roman" w:cs="Times New Roman"/>
          <w:sz w:val="18"/>
          <w:szCs w:val="18"/>
        </w:rPr>
        <w:t>) / büyük mağazalar (</w:t>
      </w:r>
      <w:proofErr w:type="spellStart"/>
      <w:r w:rsidRPr="00FA51DB">
        <w:rPr>
          <w:rFonts w:ascii="Times New Roman" w:eastAsia="ヒラギノ明朝 Pro W3" w:hAnsi="Times New Roman" w:cs="Times New Roman"/>
          <w:sz w:val="18"/>
          <w:szCs w:val="18"/>
        </w:rPr>
        <w:t>department</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store</w:t>
      </w:r>
      <w:proofErr w:type="spellEnd"/>
      <w:r w:rsidRPr="00FA51DB">
        <w:rPr>
          <w:rFonts w:ascii="Times New Roman" w:eastAsia="ヒラギノ明朝 Pro W3" w:hAnsi="Times New Roman" w:cs="Times New Roman"/>
          <w:sz w:val="18"/>
          <w:szCs w:val="18"/>
        </w:rPr>
        <w:t>) / marketlerde kiraladıkları reyon, raf, dekorasyonlu köşe (</w:t>
      </w:r>
      <w:proofErr w:type="spellStart"/>
      <w:r w:rsidRPr="00FA51DB">
        <w:rPr>
          <w:rFonts w:ascii="Times New Roman" w:eastAsia="ヒラギノ明朝 Pro W3" w:hAnsi="Times New Roman" w:cs="Times New Roman"/>
          <w:sz w:val="18"/>
          <w:szCs w:val="18"/>
        </w:rPr>
        <w:t>shop</w:t>
      </w:r>
      <w:proofErr w:type="spellEnd"/>
      <w:r w:rsidRPr="00FA51DB">
        <w:rPr>
          <w:rFonts w:ascii="Times New Roman" w:eastAsia="ヒラギノ明朝 Pro W3" w:hAnsi="Times New Roman" w:cs="Times New Roman"/>
          <w:sz w:val="18"/>
          <w:szCs w:val="18"/>
        </w:rPr>
        <w:t xml:space="preserve"> in </w:t>
      </w:r>
      <w:proofErr w:type="spellStart"/>
      <w:r w:rsidRPr="00FA51DB">
        <w:rPr>
          <w:rFonts w:ascii="Times New Roman" w:eastAsia="ヒラギノ明朝 Pro W3" w:hAnsi="Times New Roman" w:cs="Times New Roman"/>
          <w:sz w:val="18"/>
          <w:szCs w:val="18"/>
        </w:rPr>
        <w:t>shop</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kiosk</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stand</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floor</w:t>
      </w:r>
      <w:proofErr w:type="spellEnd"/>
      <w:r w:rsidRPr="00FA51DB">
        <w:rPr>
          <w:rFonts w:ascii="Times New Roman" w:eastAsia="ヒラギノ明朝 Pro W3" w:hAnsi="Times New Roman" w:cs="Times New Roman"/>
          <w:sz w:val="18"/>
          <w:szCs w:val="18"/>
        </w:rPr>
        <w:t xml:space="preserve"> </w:t>
      </w:r>
      <w:proofErr w:type="spellStart"/>
      <w:r w:rsidRPr="00FA51DB">
        <w:rPr>
          <w:rFonts w:ascii="Times New Roman" w:eastAsia="ヒラギノ明朝 Pro W3" w:hAnsi="Times New Roman" w:cs="Times New Roman"/>
          <w:sz w:val="18"/>
          <w:szCs w:val="18"/>
        </w:rPr>
        <w:t>display</w:t>
      </w:r>
      <w:proofErr w:type="spellEnd"/>
      <w:r w:rsidRPr="00FA51DB">
        <w:rPr>
          <w:rFonts w:ascii="Times New Roman" w:eastAsia="ヒラギノ明朝 Pro W3" w:hAnsi="Times New Roman" w:cs="Times New Roman"/>
          <w:sz w:val="18"/>
          <w:szCs w:val="18"/>
        </w:rPr>
        <w:t>) vb. tahsis edilmiş satış alanlarına ilişkin;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i) Brüt kira (depo için ardiye gideri, vergi/resim/harç </w:t>
      </w:r>
      <w:proofErr w:type="gramStart"/>
      <w:r w:rsidRPr="00FA51DB">
        <w:rPr>
          <w:rFonts w:ascii="Times New Roman" w:eastAsia="ヒラギノ明朝 Pro W3" w:hAnsi="Times New Roman" w:cs="Times New Roman"/>
          <w:sz w:val="18"/>
          <w:szCs w:val="18"/>
        </w:rPr>
        <w:t>dahil</w:t>
      </w:r>
      <w:proofErr w:type="gramEnd"/>
      <w:r w:rsidRPr="00FA51DB">
        <w:rPr>
          <w:rFonts w:ascii="Times New Roman" w:eastAsia="ヒラギノ明朝 Pro W3" w:hAnsi="Times New Roman" w:cs="Times New Roman"/>
          <w:sz w:val="18"/>
          <w:szCs w:val="18"/>
        </w:rPr>
        <w:t>), belediye giderleri, anılan birimlerin kiralanmasına yönelik uygun mahal araştırması ve komisyon harcamaları ile hukuki danışmanlık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FA51DB">
        <w:rPr>
          <w:rFonts w:ascii="Times New Roman" w:eastAsia="ヒラギノ明朝 Pro W3" w:hAnsi="Times New Roman" w:cs="Times New Roman"/>
          <w:sz w:val="18"/>
          <w:szCs w:val="18"/>
        </w:rPr>
        <w:t>ii</w:t>
      </w:r>
      <w:proofErr w:type="spellEnd"/>
      <w:r w:rsidRPr="00FA51DB">
        <w:rPr>
          <w:rFonts w:ascii="Times New Roman" w:eastAsia="ヒラギノ明朝 Pro W3" w:hAnsi="Times New Roman" w:cs="Times New Roman"/>
          <w:sz w:val="18"/>
          <w:szCs w:val="18"/>
        </w:rPr>
        <w:t xml:space="preserve">) Kiralanan birimin </w:t>
      </w:r>
      <w:proofErr w:type="gramStart"/>
      <w:r w:rsidRPr="00FA51DB">
        <w:rPr>
          <w:rFonts w:ascii="Times New Roman" w:eastAsia="ヒラギノ明朝 Pro W3" w:hAnsi="Times New Roman" w:cs="Times New Roman"/>
          <w:sz w:val="18"/>
          <w:szCs w:val="18"/>
        </w:rPr>
        <w:t>konsept</w:t>
      </w:r>
      <w:proofErr w:type="gramEnd"/>
      <w:r w:rsidRPr="00FA51DB">
        <w:rPr>
          <w:rFonts w:ascii="Times New Roman" w:eastAsia="ヒラギノ明朝 Pro W3" w:hAnsi="Times New Roman" w:cs="Times New Roman"/>
          <w:sz w:val="18"/>
          <w:szCs w:val="18"/>
        </w:rPr>
        <w:t xml:space="preserve"> mimari çalışma ve kurulum/dekorasyon giderleri birim başına azami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3) </w:t>
      </w:r>
      <w:proofErr w:type="spellStart"/>
      <w:r w:rsidRPr="00FA51DB">
        <w:rPr>
          <w:rFonts w:ascii="Times New Roman" w:eastAsia="ヒラギノ明朝 Pro W3" w:hAnsi="Times New Roman" w:cs="Times New Roman"/>
          <w:sz w:val="18"/>
          <w:szCs w:val="18"/>
        </w:rPr>
        <w:t>Franchise</w:t>
      </w:r>
      <w:proofErr w:type="spellEnd"/>
      <w:r w:rsidRPr="00FA51DB">
        <w:rPr>
          <w:rFonts w:ascii="Times New Roman" w:eastAsia="ヒラギノ明朝 Pro W3" w:hAnsi="Times New Roman" w:cs="Times New Roman"/>
          <w:sz w:val="18"/>
          <w:szCs w:val="18"/>
        </w:rPr>
        <w:t xml:space="preserve"> vermeleri halinde, </w:t>
      </w:r>
      <w:proofErr w:type="spellStart"/>
      <w:r w:rsidRPr="00FA51DB">
        <w:rPr>
          <w:rFonts w:ascii="Times New Roman" w:eastAsia="ヒラギノ明朝 Pro W3" w:hAnsi="Times New Roman" w:cs="Times New Roman"/>
          <w:sz w:val="18"/>
          <w:szCs w:val="18"/>
        </w:rPr>
        <w:t>franchising</w:t>
      </w:r>
      <w:proofErr w:type="spellEnd"/>
      <w:r w:rsidRPr="00FA51DB">
        <w:rPr>
          <w:rFonts w:ascii="Times New Roman" w:eastAsia="ヒラギノ明朝 Pro W3" w:hAnsi="Times New Roman" w:cs="Times New Roman"/>
          <w:sz w:val="18"/>
          <w:szCs w:val="18"/>
        </w:rPr>
        <w:t xml:space="preserve"> sistemi ile yurtdışında faaliyete geçirilecek, 5 yıllık destek süresi boyunca toplam azami 100 mağaza için,</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i) Kira giderleri, aynı mağaza için en fazla iki yıl süresince ve yıllık mağaza başına azami 200.000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FA51DB">
        <w:rPr>
          <w:rFonts w:ascii="Times New Roman" w:eastAsia="ヒラギノ明朝 Pro W3" w:hAnsi="Times New Roman" w:cs="Times New Roman"/>
          <w:sz w:val="18"/>
          <w:szCs w:val="18"/>
        </w:rPr>
        <w:t>ii</w:t>
      </w:r>
      <w:proofErr w:type="spellEnd"/>
      <w:r w:rsidRPr="00FA51DB">
        <w:rPr>
          <w:rFonts w:ascii="Times New Roman" w:eastAsia="ヒラギノ明朝 Pro W3" w:hAnsi="Times New Roman" w:cs="Times New Roman"/>
          <w:sz w:val="18"/>
          <w:szCs w:val="18"/>
        </w:rPr>
        <w:t>) Kurulum/Dekorasyon harcamaları mağaza başına azami 100.000 ABD Doları,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 xml:space="preserve">4) Şirketlerin bu maddenin birinci fıkrasının (d) bendinin 1 ve 2 numaralı alt bentleri çerçevesinde açtıkları birimlerin kirasının ciroya (depo için kullanılan palet miktarına) bağlı olması durumunda; Bakanlık tarafından uygun görülen temel kira </w:t>
      </w:r>
      <w:r w:rsidRPr="00FA51DB">
        <w:rPr>
          <w:rFonts w:ascii="Times New Roman" w:eastAsia="ヒラギノ明朝 Pro W3" w:hAnsi="Times New Roman" w:cs="Times New Roman"/>
          <w:sz w:val="18"/>
          <w:szCs w:val="18"/>
        </w:rPr>
        <w:lastRenderedPageBreak/>
        <w:t>tutarı [temel kira uygulamasının bulunmadığı birimlerde, yalnızca cironun yüzdesinden oluşan (depo için kullanılan palet miktarına göre hesaplanan) ve Bakanlık tarafından incelenen ilk kira tutarı, temel kira kabul edilir] ile söz konusu temel kira tutarının %50’sine kadar olan ciro kirası,</w:t>
      </w:r>
      <w:proofErr w:type="gramEnd"/>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e) Kurumsal kimlik oluşturulması, stratejik şirket yapılandırılması, kalite kontrol sistemi oluşturulması, moda ve </w:t>
      </w:r>
      <w:proofErr w:type="gramStart"/>
      <w:r w:rsidRPr="00FA51DB">
        <w:rPr>
          <w:rFonts w:ascii="Times New Roman" w:eastAsia="ヒラギノ明朝 Pro W3" w:hAnsi="Times New Roman" w:cs="Times New Roman"/>
          <w:sz w:val="18"/>
          <w:szCs w:val="18"/>
        </w:rPr>
        <w:t>trendler</w:t>
      </w:r>
      <w:proofErr w:type="gramEnd"/>
      <w:r w:rsidRPr="00FA51DB">
        <w:rPr>
          <w:rFonts w:ascii="Times New Roman" w:eastAsia="ヒラギノ明朝 Pro W3" w:hAnsi="Times New Roman" w:cs="Times New Roman"/>
          <w:sz w:val="18"/>
          <w:szCs w:val="18"/>
        </w:rPr>
        <w:t>, gastronomi, ürün ve ambalaj tasarımı, stratejik pazarlama, perakende operasyonlar, şirket kuruluşu, mağaza açılması ve işletilmesi, uluslararası ihracat ve hukuk, risk yönetimi, müşteri ilişkileri yönetimi (CRM), bilgi-işlem gibi uluslararası pazarlarda rekabet avantajını artırıcı diğer her türlü iş yönetimi kapsamında satın alacakları danışmanlık giderleri, Bilgisayarlı Tasarım (CAD), Kurumsal Kaynak Planlaması (ERP), Tedarik Zinciri Yönetimi (SCM), Müşteri İlişkileri Yönetimi (CRM), Kurumsal Performans Yönetimi (EPM), Perakende Yönetimi vb. bilgi yönetimi kapsamında satın alacakları veya kiralayacakları yazılım ürünlerinin lisansları ve bunların yıllık bakım-güncelleme bedelleri ile yazılımların devreye alınması, iyileştirilmesi ve idamesi için yapacakları danışmanlık, eğitim ve dış kaynak kullanımı harcamaları,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%50 oranında desteklenir.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(2) Şirketlerin bu maddenin birinci fıkrasında düzenlenen desteklerden yararlanabilmesi için; kapsamdaki markalarına ve ilgili destek dönemine ilişkin olarak, Bakanlık tarafından yetkilendirilen danışmanlık şirketlerince gerçekleştirilecek Gelişim Yol Haritası çalışmasını yaptırmaları zorunludur. Şirketlerin bu fıkra uyarınca yaptığı harcamalar, ilgili destek dönemi için en fazla 200.000 ABD Doları ve %75 oranında desteklenir. Bu maddenin uygulanmasına ilişkin usul ve esaslar Bakanlık tarafından belirlenir.”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5 – </w:t>
      </w:r>
      <w:r w:rsidRPr="00FA51DB">
        <w:rPr>
          <w:rFonts w:ascii="Times New Roman" w:eastAsia="ヒラギノ明朝 Pro W3" w:hAnsi="Times New Roman" w:cs="Times New Roman"/>
          <w:sz w:val="18"/>
          <w:szCs w:val="18"/>
        </w:rPr>
        <w:t xml:space="preserve">Aynı Tebliğin 12 </w:t>
      </w:r>
      <w:proofErr w:type="spellStart"/>
      <w:r w:rsidRPr="00FA51DB">
        <w:rPr>
          <w:rFonts w:ascii="Times New Roman" w:eastAsia="ヒラギノ明朝 Pro W3" w:hAnsi="Times New Roman" w:cs="Times New Roman"/>
          <w:sz w:val="18"/>
          <w:szCs w:val="18"/>
        </w:rPr>
        <w:t>nci</w:t>
      </w:r>
      <w:proofErr w:type="spellEnd"/>
      <w:r w:rsidRPr="00FA51DB">
        <w:rPr>
          <w:rFonts w:ascii="Times New Roman" w:eastAsia="ヒラギノ明朝 Pro W3" w:hAnsi="Times New Roman" w:cs="Times New Roman"/>
          <w:sz w:val="18"/>
          <w:szCs w:val="18"/>
        </w:rPr>
        <w:t xml:space="preserve">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12 –</w:t>
      </w:r>
      <w:r w:rsidRPr="00FA51DB">
        <w:rPr>
          <w:rFonts w:ascii="Times New Roman" w:eastAsia="ヒラギノ明朝 Pro W3" w:hAnsi="Times New Roman" w:cs="Times New Roman"/>
          <w:sz w:val="18"/>
          <w:szCs w:val="18"/>
        </w:rPr>
        <w:t xml:space="preserve"> (1) Türkiye İhracatçılar Meclisi (TİM) ve Birliklerin TURQUALITY® Programının yürütülmesi konusunda;</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 xml:space="preserve">a) Marka/TURQUALITY® destek programı kapsamına alınacak/alınan şirketlerin iş yönetimi kalitesi, </w:t>
      </w:r>
      <w:proofErr w:type="spellStart"/>
      <w:r w:rsidRPr="00FA51DB">
        <w:rPr>
          <w:rFonts w:ascii="Times New Roman" w:eastAsia="ヒラギノ明朝 Pro W3" w:hAnsi="Times New Roman" w:cs="Times New Roman"/>
          <w:sz w:val="18"/>
          <w:szCs w:val="18"/>
        </w:rPr>
        <w:t>operasyonel</w:t>
      </w:r>
      <w:proofErr w:type="spellEnd"/>
      <w:r w:rsidRPr="00FA51DB">
        <w:rPr>
          <w:rFonts w:ascii="Times New Roman" w:eastAsia="ヒラギノ明朝 Pro W3" w:hAnsi="Times New Roman" w:cs="Times New Roman"/>
          <w:sz w:val="18"/>
          <w:szCs w:val="18"/>
        </w:rPr>
        <w:t xml:space="preserve"> mükemmellik düzeyi ve markalaşma potansiyellerinin belirlenmesi, performanslarının izlenmesi, program ve program kapsamındaki faaliyet ve işlemleri ile harcama belgelerinin içeriği, doğruluğu, rayicine uygunluğu vb. hususlar ile TURQUALITY® Programı kapsamında yapılan faaliyetlerle ilgili gerçekleştireceği her türlü denetim ve danışmanlık giderleri,</w:t>
      </w:r>
      <w:proofErr w:type="gramEnd"/>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b) Marka/TURQUALITY® destek programı kapsamına alınan şirketlere yönelik olarak ürün ve üretim süreçlerinin iyileştirilmesi, </w:t>
      </w:r>
      <w:proofErr w:type="spellStart"/>
      <w:r w:rsidRPr="00FA51DB">
        <w:rPr>
          <w:rFonts w:ascii="Times New Roman" w:eastAsia="ヒラギノ明朝 Pro W3" w:hAnsi="Times New Roman" w:cs="Times New Roman"/>
          <w:sz w:val="18"/>
          <w:szCs w:val="18"/>
        </w:rPr>
        <w:t>operasyonel</w:t>
      </w:r>
      <w:proofErr w:type="spellEnd"/>
      <w:r w:rsidRPr="00FA51DB">
        <w:rPr>
          <w:rFonts w:ascii="Times New Roman" w:eastAsia="ヒラギノ明朝 Pro W3" w:hAnsi="Times New Roman" w:cs="Times New Roman"/>
          <w:sz w:val="18"/>
          <w:szCs w:val="18"/>
        </w:rPr>
        <w:t xml:space="preserve"> mükemmellik, stratejik konumlandırma-planlama, pazar haberdarlığı, pazarlama, markalaşma, perakendecilik, halkla ilişkiler, iletişim, reklam, vb. konularda gerçekleştireceği eğitim, seminer, rehberlik, danışmanlık vb. faaliyetlerine ilişkin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c) TURQUALITY® Programının pazara giriş ve iletişim stratejisi kapsamında olumlu Türk malı imajının oluşturulması ve yerleştirilmesi için yurtiçi ve yurtdışında gerçekleştireceği her türlü halkla ilişkiler faaliyetleri (PR), Türk markalarının pazara giriş ve tutunmalarına yönelik gerçekleştireceği her türlü organizasyonlara ilişkin giderler ile pazar istihbaratı, pazar haberdarlığı, ulusal ve uluslararası iş ilişkileri ağı (</w:t>
      </w:r>
      <w:proofErr w:type="spellStart"/>
      <w:r w:rsidRPr="00FA51DB">
        <w:rPr>
          <w:rFonts w:ascii="Times New Roman" w:eastAsia="ヒラギノ明朝 Pro W3" w:hAnsi="Times New Roman" w:cs="Times New Roman"/>
          <w:sz w:val="18"/>
          <w:szCs w:val="18"/>
        </w:rPr>
        <w:t>networking</w:t>
      </w:r>
      <w:proofErr w:type="spellEnd"/>
      <w:r w:rsidRPr="00FA51DB">
        <w:rPr>
          <w:rFonts w:ascii="Times New Roman" w:eastAsia="ヒラギノ明朝 Pro W3" w:hAnsi="Times New Roman" w:cs="Times New Roman"/>
          <w:sz w:val="18"/>
          <w:szCs w:val="18"/>
        </w:rPr>
        <w:t xml:space="preserve">), </w:t>
      </w:r>
      <w:proofErr w:type="gramStart"/>
      <w:r w:rsidRPr="00FA51DB">
        <w:rPr>
          <w:rFonts w:ascii="Times New Roman" w:eastAsia="ヒラギノ明朝 Pro W3" w:hAnsi="Times New Roman" w:cs="Times New Roman"/>
          <w:sz w:val="18"/>
          <w:szCs w:val="18"/>
        </w:rPr>
        <w:t>sponsorluk</w:t>
      </w:r>
      <w:proofErr w:type="gramEnd"/>
      <w:r w:rsidRPr="00FA51DB">
        <w:rPr>
          <w:rFonts w:ascii="Times New Roman" w:eastAsia="ヒラギノ明朝 Pro W3" w:hAnsi="Times New Roman" w:cs="Times New Roman"/>
          <w:sz w:val="18"/>
          <w:szCs w:val="18"/>
        </w:rPr>
        <w:t xml:space="preserve"> vb.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ç) TURQUALITY® Programının kurumsallaştırılması ve TURQUALITY® Sekretaryasına yönelik giderleri ile eleman istihdamı ve eğitimine ilişkin harcamaları,</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d) TURQUALITY® Programının stratejisinin güncellenmesi, yenilenmesi, geliştirilmesi, uygulanması ve program kapsamında yapılacak stratejik çalışmalara ilişkin harcamaları ile bu konularda gerçek ya da tüzel kişilerden satın alacağı danışmanlık giderleri,</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1DB">
        <w:rPr>
          <w:rFonts w:ascii="Times New Roman" w:eastAsia="ヒラギノ明朝 Pro W3" w:hAnsi="Times New Roman" w:cs="Times New Roman"/>
          <w:sz w:val="18"/>
          <w:szCs w:val="18"/>
        </w:rPr>
        <w:t>yıllık</w:t>
      </w:r>
      <w:proofErr w:type="gramEnd"/>
      <w:r w:rsidRPr="00FA51DB">
        <w:rPr>
          <w:rFonts w:ascii="Times New Roman" w:eastAsia="ヒラギノ明朝 Pro W3" w:hAnsi="Times New Roman" w:cs="Times New Roman"/>
          <w:sz w:val="18"/>
          <w:szCs w:val="18"/>
        </w:rPr>
        <w:t xml:space="preserve"> en fazla 35 milyon ABD Doları ve %100 oranında desteklenir.”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6 –</w:t>
      </w:r>
      <w:r w:rsidRPr="00FA51DB">
        <w:rPr>
          <w:rFonts w:ascii="Times New Roman" w:eastAsia="ヒラギノ明朝 Pro W3" w:hAnsi="Times New Roman" w:cs="Times New Roman"/>
          <w:sz w:val="18"/>
          <w:szCs w:val="18"/>
        </w:rPr>
        <w:t xml:space="preserve"> Aynı Tebliğin 14 üncü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14 –</w:t>
      </w:r>
      <w:r w:rsidRPr="00FA51DB">
        <w:rPr>
          <w:rFonts w:ascii="Times New Roman" w:eastAsia="ヒラギノ明朝 Pro W3" w:hAnsi="Times New Roman" w:cs="Times New Roman"/>
          <w:sz w:val="18"/>
          <w:szCs w:val="18"/>
        </w:rPr>
        <w:t xml:space="preserve"> (1) Bu Tebliğin 10 uncu maddesinde düzenlenen destek unsurlarından yararlanmak için, şirketlerin başvuru formu ve ekindeki belgelerle doğrudan Bakanlığa müracaat etmesi, ön inceleme yapılması ve markanın Bakanlık tarafından Marka Destek Programı kapsamına alınması gerekmektedir.”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7 – </w:t>
      </w:r>
      <w:r w:rsidRPr="00FA51DB">
        <w:rPr>
          <w:rFonts w:ascii="Times New Roman" w:eastAsia="ヒラギノ明朝 Pro W3" w:hAnsi="Times New Roman" w:cs="Times New Roman"/>
          <w:sz w:val="18"/>
          <w:szCs w:val="18"/>
        </w:rPr>
        <w:t>Aynı Tebliğin 15 inci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15 –</w:t>
      </w:r>
      <w:r w:rsidRPr="00FA51DB">
        <w:rPr>
          <w:rFonts w:ascii="Times New Roman" w:eastAsia="ヒラギノ明朝 Pro W3" w:hAnsi="Times New Roman" w:cs="Times New Roman"/>
          <w:sz w:val="18"/>
          <w:szCs w:val="18"/>
        </w:rPr>
        <w:t xml:space="preserve"> (1) Bu Tebliğin 11 inci maddesinde belirtilen destek unsurlarından yararlanmak için, şirketlerin başvuru formu ve ekindeki belgelerle doğrudan Bakanlığa müracaat etmesi, ön inceleme yapılması ve markanın Bakanlık/TURQUALITY® Komitesi tarafından TURQUALITY® Destek Programı kapsamına alınması gerekmektedir.”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8 –</w:t>
      </w:r>
      <w:r w:rsidRPr="00FA51DB">
        <w:rPr>
          <w:rFonts w:ascii="Times New Roman" w:eastAsia="ヒラギノ明朝 Pro W3" w:hAnsi="Times New Roman" w:cs="Times New Roman"/>
          <w:sz w:val="18"/>
          <w:szCs w:val="18"/>
        </w:rPr>
        <w:t xml:space="preserve"> Aynı Tebliğin 18 inci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18 –</w:t>
      </w:r>
      <w:r w:rsidRPr="00FA51DB">
        <w:rPr>
          <w:rFonts w:ascii="Times New Roman" w:eastAsia="ヒラギノ明朝 Pro W3" w:hAnsi="Times New Roman" w:cs="Times New Roman"/>
          <w:sz w:val="18"/>
          <w:szCs w:val="18"/>
        </w:rPr>
        <w:t xml:space="preserve"> (1) Bu Tebliğin 9, 10 ve 11 inci maddelerinde belirtilen desteğin başlangıç tarihi, kuruluş ve şirketlerin bu Tebliğin 13, 14 ve 15 inci maddeleri çerçevesinde Bakanlık/TURQUALITY® Komitesi tarafından destek kapsamına alındığı tarih olup, bu tarihten itibaren gerçekleştirilen harcama ve faaliyetler desteklenebilir. Ancak şirketlerin destek ödemesi her halükarda Stratejik İş Planları Bakanlık tarafından onaylandıktan sonra gerçekleştirilir.”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9 –</w:t>
      </w:r>
      <w:r w:rsidRPr="00FA51DB">
        <w:rPr>
          <w:rFonts w:ascii="Times New Roman" w:eastAsia="ヒラギノ明朝 Pro W3" w:hAnsi="Times New Roman" w:cs="Times New Roman"/>
          <w:sz w:val="18"/>
          <w:szCs w:val="18"/>
        </w:rPr>
        <w:t xml:space="preserve"> Aynı Tebliğin 22 </w:t>
      </w:r>
      <w:proofErr w:type="spellStart"/>
      <w:r w:rsidRPr="00FA51DB">
        <w:rPr>
          <w:rFonts w:ascii="Times New Roman" w:eastAsia="ヒラギノ明朝 Pro W3" w:hAnsi="Times New Roman" w:cs="Times New Roman"/>
          <w:sz w:val="18"/>
          <w:szCs w:val="18"/>
        </w:rPr>
        <w:t>nci</w:t>
      </w:r>
      <w:proofErr w:type="spellEnd"/>
      <w:r w:rsidRPr="00FA51DB">
        <w:rPr>
          <w:rFonts w:ascii="Times New Roman" w:eastAsia="ヒラギノ明朝 Pro W3" w:hAnsi="Times New Roman" w:cs="Times New Roman"/>
          <w:sz w:val="18"/>
          <w:szCs w:val="18"/>
        </w:rPr>
        <w:t xml:space="preserve"> maddesinin birinci fıkrası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w:t>
      </w:r>
      <w:r w:rsidRPr="00FA51DB">
        <w:rPr>
          <w:rFonts w:ascii="Times New Roman" w:eastAsia="ヒラギノ明朝 Pro W3" w:hAnsi="Times New Roman" w:cs="Times New Roman"/>
          <w:sz w:val="18"/>
          <w:szCs w:val="18"/>
        </w:rPr>
        <w:t>(1) Yurtiçi tescili aynı şirket üzerine olan en fazla iki marka Tebliğin 10 ve/veya 11 inci maddeleri kapsamına alınabilir. Yurtdışı tescilin ise, yurtiçi tesciline sahip şirket ya da bu şirketin organik bağının bulunduğu şirkete ait olması gerekir.”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10 – </w:t>
      </w:r>
      <w:r w:rsidRPr="00FA51DB">
        <w:rPr>
          <w:rFonts w:ascii="Times New Roman" w:eastAsia="ヒラギノ明朝 Pro W3" w:hAnsi="Times New Roman" w:cs="Times New Roman"/>
          <w:sz w:val="18"/>
          <w:szCs w:val="18"/>
        </w:rPr>
        <w:t>Aynı Tebliğin 29 uncu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lastRenderedPageBreak/>
        <w:t>“MADDE 29 –</w:t>
      </w:r>
      <w:r w:rsidRPr="00FA51DB">
        <w:rPr>
          <w:rFonts w:ascii="Times New Roman" w:eastAsia="ヒラギノ明朝 Pro W3" w:hAnsi="Times New Roman" w:cs="Times New Roman"/>
          <w:sz w:val="18"/>
          <w:szCs w:val="18"/>
        </w:rPr>
        <w:t xml:space="preserve"> (1) Bu Tebliğin 9, 10, 11 ve 12 </w:t>
      </w:r>
      <w:proofErr w:type="spellStart"/>
      <w:r w:rsidRPr="00FA51DB">
        <w:rPr>
          <w:rFonts w:ascii="Times New Roman" w:eastAsia="ヒラギノ明朝 Pro W3" w:hAnsi="Times New Roman" w:cs="Times New Roman"/>
          <w:sz w:val="18"/>
          <w:szCs w:val="18"/>
        </w:rPr>
        <w:t>nci</w:t>
      </w:r>
      <w:proofErr w:type="spellEnd"/>
      <w:r w:rsidRPr="00FA51DB">
        <w:rPr>
          <w:rFonts w:ascii="Times New Roman" w:eastAsia="ヒラギノ明朝 Pro W3" w:hAnsi="Times New Roman" w:cs="Times New Roman"/>
          <w:sz w:val="18"/>
          <w:szCs w:val="18"/>
        </w:rPr>
        <w:t xml:space="preserve"> maddelerinde belirtilen destek unsurlarından yararlandırılacak olan kuruluş ve şirketlerin, Uygulama Usul ve Esaslarında düzenlenen belgeleri ibraz etmesi zorunludur. Bakanlık, şirket ve kuruluşların harcama ve faaliyetlerine ilişkin denetim/danışmanlık firmalarına rapor hazırlattırabilir.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(2) Şirket ve kuruluşların, Uygulama Usul ve Esaslarında düzenlenen belge ve faaliyetleri, ilgili Ticaret Müşavirliği/Ataşeliğinin onayına tabidir. Ticaret Müşavirliği/Ataşeliği’nin bulunmadığı ülkelerde, belgelerin ilgili Türk Konsolosluğu’na onaylatılması gerekmektedir.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 xml:space="preserve">(3) Gerekli incelemenin yapılmasını </w:t>
      </w:r>
      <w:proofErr w:type="spellStart"/>
      <w:r w:rsidRPr="00FA51DB">
        <w:rPr>
          <w:rFonts w:ascii="Times New Roman" w:eastAsia="ヒラギノ明朝 Pro W3" w:hAnsi="Times New Roman" w:cs="Times New Roman"/>
          <w:sz w:val="18"/>
          <w:szCs w:val="18"/>
        </w:rPr>
        <w:t>teminen</w:t>
      </w:r>
      <w:proofErr w:type="spellEnd"/>
      <w:r w:rsidRPr="00FA51DB">
        <w:rPr>
          <w:rFonts w:ascii="Times New Roman" w:eastAsia="ヒラギノ明朝 Pro W3" w:hAnsi="Times New Roman" w:cs="Times New Roman"/>
          <w:sz w:val="18"/>
          <w:szCs w:val="18"/>
        </w:rPr>
        <w:t xml:space="preserve"> Uygulama Usul ve Esaslarında belirtilen belgelerin, ödeme belgesi tarihinden itibaren en geç 6 ay (fuar katılımı başvuruları için 12 ay) içinde; otomasyon sisteminden yapılan başvuruyu müteakip şirketler tarafından üyesi oldukları İhracatçı Birlikleri Genel Sekreterliğine, Kuruluşlar tarafından doğrudan Bakanlığa, ibraz edilmesi gerekmektedir.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(4) Usulüne uygun başvuru süresi olarak belirlenen 6 aylık (fuar katılımı başvuruları için 12 ay) süre; ödeme belgesinin şirketler için Birlik, kuruluşlar için Bakanlık evrak kayıtlarına giriş yapılan tarih esas alınarak belirlenir.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(5) Bakanlık/İhracatçı Birlikleri Genel Sekreterlikleri tarafından yapılan inceleme neticesinde harcamalara ilişkin olarak tespit edilen eksik bilgi/belgelerin; şirkete/kuruluşa bildirildiği tarihten itibaren 6 (altı) ay içerisinde Bakanlık/İhracatçı Birlikleri Genel Sekreterliklerine ibraz edilmemesi halinde, söz konusu harcamalar destek kapsamında değerlendirilmez. 6 aylık süre; Birlik ve/veya Bakanlık tarafından otomasyon sistemi üzerinden yapılan inceleme neticesinde, eksik bilgi/belge tamamlama görevinin firmanın görev listesinde bulunduğu süre toplamı üzerinden hesaplanır.”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11 – </w:t>
      </w:r>
      <w:r w:rsidRPr="00FA51DB">
        <w:rPr>
          <w:rFonts w:ascii="Times New Roman" w:eastAsia="ヒラギノ明朝 Pro W3" w:hAnsi="Times New Roman" w:cs="Times New Roman"/>
          <w:sz w:val="18"/>
          <w:szCs w:val="18"/>
        </w:rPr>
        <w:t xml:space="preserve">Aynı Tebliğin 37 </w:t>
      </w:r>
      <w:proofErr w:type="spellStart"/>
      <w:r w:rsidRPr="00FA51DB">
        <w:rPr>
          <w:rFonts w:ascii="Times New Roman" w:eastAsia="ヒラギノ明朝 Pro W3" w:hAnsi="Times New Roman" w:cs="Times New Roman"/>
          <w:sz w:val="18"/>
          <w:szCs w:val="18"/>
        </w:rPr>
        <w:t>nci</w:t>
      </w:r>
      <w:proofErr w:type="spellEnd"/>
      <w:r w:rsidRPr="00FA51DB">
        <w:rPr>
          <w:rFonts w:ascii="Times New Roman" w:eastAsia="ヒラギノ明朝 Pro W3" w:hAnsi="Times New Roman" w:cs="Times New Roman"/>
          <w:sz w:val="18"/>
          <w:szCs w:val="18"/>
        </w:rPr>
        <w:t xml:space="preserve"> maddesi aşağıdaki şekilde değiştirilmiştir.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37 –</w:t>
      </w:r>
      <w:r w:rsidRPr="00FA51DB">
        <w:rPr>
          <w:rFonts w:ascii="Times New Roman" w:eastAsia="ヒラギノ明朝 Pro W3" w:hAnsi="Times New Roman" w:cs="Times New Roman"/>
          <w:sz w:val="18"/>
          <w:szCs w:val="18"/>
        </w:rPr>
        <w:t xml:space="preserve"> (1) Bu Tebliğ hükümleri çerçevesinde destek kapsamına alınan şirketler, destek süresi içinde ve/veya bitiminde, Bakanlık tarafından uygulanan ve bu Tebliğde yer alan destek unsurlarını içeren diğer “İhracata Yönelik Devlet Yardımları”ndan yararlandırılmazlar.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(2) Bu Tebliğ hükümleri çerçevesinde harcama yetkisi verilen şirketler, destek kapsamındaki markaya ilişkin harcamaları için, destek süresi içinde ve/veya bitiminde, Bakanlık tarafından uygulanan ve bu Tebliğde yer alan destek unsurlarını içeren diğer “İhracata Yönelik Devlet Yardımları”ndan yararlandırılmazlar.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sz w:val="18"/>
          <w:szCs w:val="18"/>
        </w:rPr>
        <w:t>(3) Bu Tebliğ hükümleri çerçevesinde destek kapsamına alınan Kuruluşlar, destek kapsamına alınan projelerine ilişkin harcamaları için, destek süresi içinde ve/veya bitiminde, Bakanlık tarafından uygulanan ve bu Tebliğde yer alan destek unsurlarını içeren diğer “İhracata Yönelik Devlet Yardımları”ndan yararlandırılmazlar.”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MADDE 12 –</w:t>
      </w:r>
      <w:r w:rsidRPr="00FA51DB">
        <w:rPr>
          <w:rFonts w:ascii="Times New Roman" w:eastAsia="ヒラギノ明朝 Pro W3" w:hAnsi="Times New Roman" w:cs="Times New Roman"/>
          <w:sz w:val="18"/>
          <w:szCs w:val="18"/>
        </w:rPr>
        <w:t xml:space="preserve"> Aynı Tebliğin 24 üncü, 38 inci ve 39 uncu maddeleri yürürlükten kaldırılmıştır.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13 – </w:t>
      </w:r>
      <w:r w:rsidRPr="00FA51DB">
        <w:rPr>
          <w:rFonts w:ascii="Times New Roman" w:eastAsia="ヒラギノ明朝 Pro W3" w:hAnsi="Times New Roman" w:cs="Times New Roman"/>
          <w:sz w:val="18"/>
          <w:szCs w:val="18"/>
        </w:rPr>
        <w:t>Bu Tebliğ yayımı tarihinde yürürlüğe girer.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r w:rsidRPr="00FA51DB">
        <w:rPr>
          <w:rFonts w:ascii="Times New Roman" w:eastAsia="ヒラギノ明朝 Pro W3" w:hAnsi="Times New Roman" w:cs="Times New Roman"/>
          <w:b/>
          <w:sz w:val="18"/>
          <w:szCs w:val="18"/>
        </w:rPr>
        <w:t xml:space="preserve">MADDE 14 – </w:t>
      </w:r>
      <w:r w:rsidRPr="00FA51DB">
        <w:rPr>
          <w:rFonts w:ascii="Times New Roman" w:eastAsia="ヒラギノ明朝 Pro W3" w:hAnsi="Times New Roman" w:cs="Times New Roman"/>
          <w:sz w:val="18"/>
          <w:szCs w:val="18"/>
        </w:rPr>
        <w:t>Bu Tebliğ hükümlerini Ekonomi Bakanı yürütür.</w:t>
      </w:r>
    </w:p>
    <w:p w:rsidR="00FA51DB" w:rsidRPr="00FA51DB" w:rsidRDefault="00FA51DB" w:rsidP="00FA51DB">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FA51DB" w:rsidRPr="00FA51DB">
        <w:trPr>
          <w:jc w:val="center"/>
        </w:trPr>
        <w:tc>
          <w:tcPr>
            <w:tcW w:w="8505" w:type="dxa"/>
            <w:gridSpan w:val="3"/>
            <w:tcBorders>
              <w:top w:val="single" w:sz="4" w:space="0" w:color="auto"/>
              <w:left w:val="single" w:sz="4" w:space="0" w:color="auto"/>
              <w:bottom w:val="nil"/>
              <w:right w:val="single" w:sz="4" w:space="0" w:color="auto"/>
            </w:tcBorders>
          </w:tcPr>
          <w:p w:rsidR="00FA51DB" w:rsidRPr="00FA51DB" w:rsidRDefault="00FA51DB" w:rsidP="00FA51DB">
            <w:pPr>
              <w:tabs>
                <w:tab w:val="left" w:pos="566"/>
              </w:tabs>
              <w:spacing w:after="0" w:line="240" w:lineRule="exact"/>
              <w:jc w:val="center"/>
              <w:rPr>
                <w:rFonts w:ascii="Times New Roman" w:eastAsia="ヒラギノ明朝 Pro W3" w:hAnsi="Times New Roman" w:cs="Times New Roman"/>
                <w:sz w:val="18"/>
                <w:szCs w:val="18"/>
              </w:rPr>
            </w:pPr>
          </w:p>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Tebli</w:t>
            </w:r>
            <w:r w:rsidRPr="00FA51DB">
              <w:rPr>
                <w:rFonts w:ascii="Times New Roman" w:eastAsia="ヒラギノ明朝 Pro W3" w:hAnsi="Times" w:cs="Times New Roman"/>
                <w:b/>
                <w:sz w:val="18"/>
                <w:szCs w:val="18"/>
              </w:rPr>
              <w:t>ğ</w:t>
            </w:r>
            <w:r w:rsidRPr="00FA51DB">
              <w:rPr>
                <w:rFonts w:ascii="Times New Roman" w:eastAsia="ヒラギノ明朝 Pro W3" w:hAnsi="Times" w:cs="Times New Roman"/>
                <w:b/>
                <w:sz w:val="18"/>
                <w:szCs w:val="18"/>
              </w:rPr>
              <w:t>in Yay</w:t>
            </w:r>
            <w:r w:rsidRPr="00FA51DB">
              <w:rPr>
                <w:rFonts w:ascii="Times New Roman" w:eastAsia="ヒラギノ明朝 Pro W3" w:hAnsi="Times" w:cs="Times New Roman"/>
                <w:b/>
                <w:sz w:val="18"/>
                <w:szCs w:val="18"/>
              </w:rPr>
              <w:t>ı</w:t>
            </w:r>
            <w:r w:rsidRPr="00FA51DB">
              <w:rPr>
                <w:rFonts w:ascii="Times New Roman" w:eastAsia="ヒラギノ明朝 Pro W3" w:hAnsi="Times" w:cs="Times New Roman"/>
                <w:b/>
                <w:sz w:val="18"/>
                <w:szCs w:val="18"/>
              </w:rPr>
              <w:t>mland</w:t>
            </w:r>
            <w:r w:rsidRPr="00FA51DB">
              <w:rPr>
                <w:rFonts w:ascii="Times New Roman" w:eastAsia="ヒラギノ明朝 Pro W3" w:hAnsi="Times" w:cs="Times New Roman"/>
                <w:b/>
                <w:sz w:val="18"/>
                <w:szCs w:val="18"/>
              </w:rPr>
              <w:t>ığı</w:t>
            </w:r>
            <w:r w:rsidRPr="00FA51DB">
              <w:rPr>
                <w:rFonts w:ascii="Times New Roman" w:eastAsia="ヒラギノ明朝 Pro W3" w:hAnsi="Times" w:cs="Times New Roman"/>
                <w:b/>
                <w:sz w:val="18"/>
                <w:szCs w:val="18"/>
              </w:rPr>
              <w:t xml:space="preserve"> Resm</w:t>
            </w:r>
            <w:r w:rsidRPr="00FA51DB">
              <w:rPr>
                <w:rFonts w:ascii="Times New Roman" w:eastAsia="ヒラギノ明朝 Pro W3" w:hAnsi="Times" w:cs="Times New Roman"/>
                <w:b/>
                <w:sz w:val="18"/>
                <w:szCs w:val="18"/>
              </w:rPr>
              <w:t>î</w:t>
            </w:r>
            <w:r w:rsidRPr="00FA51DB">
              <w:rPr>
                <w:rFonts w:ascii="Times New Roman" w:eastAsia="ヒラギノ明朝 Pro W3" w:hAnsi="Times" w:cs="Times New Roman"/>
                <w:b/>
                <w:sz w:val="18"/>
                <w:szCs w:val="18"/>
              </w:rPr>
              <w:t xml:space="preserve"> Gazete'nin</w:t>
            </w:r>
          </w:p>
        </w:tc>
      </w:tr>
      <w:tr w:rsidR="00FA51DB" w:rsidRPr="00FA51DB">
        <w:trPr>
          <w:jc w:val="center"/>
        </w:trPr>
        <w:tc>
          <w:tcPr>
            <w:tcW w:w="4254" w:type="dxa"/>
            <w:gridSpan w:val="2"/>
            <w:tcBorders>
              <w:top w:val="nil"/>
              <w:left w:val="single" w:sz="4" w:space="0" w:color="auto"/>
              <w:bottom w:val="single" w:sz="4" w:space="0" w:color="auto"/>
              <w:right w:val="nil"/>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Say</w:t>
            </w:r>
            <w:r w:rsidRPr="00FA51DB">
              <w:rPr>
                <w:rFonts w:ascii="Times New Roman" w:eastAsia="ヒラギノ明朝 Pro W3" w:hAnsi="Times" w:cs="Times New Roman"/>
                <w:b/>
                <w:sz w:val="18"/>
                <w:szCs w:val="18"/>
              </w:rPr>
              <w:t>ı</w:t>
            </w:r>
            <w:r w:rsidRPr="00FA51DB">
              <w:rPr>
                <w:rFonts w:ascii="Times New Roman" w:eastAsia="ヒラギノ明朝 Pro W3" w:hAnsi="Times" w:cs="Times New Roman"/>
                <w:b/>
                <w:sz w:val="18"/>
                <w:szCs w:val="18"/>
              </w:rPr>
              <w:t>s</w:t>
            </w:r>
            <w:r w:rsidRPr="00FA51DB">
              <w:rPr>
                <w:rFonts w:ascii="Times New Roman" w:eastAsia="ヒラギノ明朝 Pro W3" w:hAnsi="Times" w:cs="Times New Roman"/>
                <w:b/>
                <w:sz w:val="18"/>
                <w:szCs w:val="18"/>
              </w:rPr>
              <w:t>ı</w:t>
            </w:r>
          </w:p>
        </w:tc>
      </w:tr>
      <w:tr w:rsidR="00FA51DB" w:rsidRPr="00FA51D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24/5/2006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26177</w:t>
            </w:r>
          </w:p>
        </w:tc>
      </w:tr>
      <w:tr w:rsidR="00FA51DB" w:rsidRPr="00FA51DB">
        <w:trPr>
          <w:jc w:val="center"/>
        </w:trPr>
        <w:tc>
          <w:tcPr>
            <w:tcW w:w="8505" w:type="dxa"/>
            <w:gridSpan w:val="3"/>
            <w:tcBorders>
              <w:top w:val="single" w:sz="4" w:space="0" w:color="auto"/>
              <w:left w:val="single" w:sz="4" w:space="0" w:color="auto"/>
              <w:bottom w:val="nil"/>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Tebli</w:t>
            </w:r>
            <w:r w:rsidRPr="00FA51DB">
              <w:rPr>
                <w:rFonts w:ascii="Times New Roman" w:eastAsia="ヒラギノ明朝 Pro W3" w:hAnsi="Times" w:cs="Times New Roman"/>
                <w:b/>
                <w:sz w:val="18"/>
                <w:szCs w:val="18"/>
              </w:rPr>
              <w:t>ğ</w:t>
            </w:r>
            <w:r w:rsidRPr="00FA51DB">
              <w:rPr>
                <w:rFonts w:ascii="Times New Roman" w:eastAsia="ヒラギノ明朝 Pro W3" w:hAnsi="Times" w:cs="Times New Roman"/>
                <w:b/>
                <w:sz w:val="18"/>
                <w:szCs w:val="18"/>
              </w:rPr>
              <w:t>de De</w:t>
            </w:r>
            <w:r w:rsidRPr="00FA51DB">
              <w:rPr>
                <w:rFonts w:ascii="Times New Roman" w:eastAsia="ヒラギノ明朝 Pro W3" w:hAnsi="Times" w:cs="Times New Roman"/>
                <w:b/>
                <w:sz w:val="18"/>
                <w:szCs w:val="18"/>
              </w:rPr>
              <w:t>ğ</w:t>
            </w:r>
            <w:r w:rsidRPr="00FA51DB">
              <w:rPr>
                <w:rFonts w:ascii="Times New Roman" w:eastAsia="ヒラギノ明朝 Pro W3" w:hAnsi="Times" w:cs="Times New Roman"/>
                <w:b/>
                <w:sz w:val="18"/>
                <w:szCs w:val="18"/>
              </w:rPr>
              <w:t>i</w:t>
            </w:r>
            <w:r w:rsidRPr="00FA51DB">
              <w:rPr>
                <w:rFonts w:ascii="Times New Roman" w:eastAsia="ヒラギノ明朝 Pro W3" w:hAnsi="Times" w:cs="Times New Roman"/>
                <w:b/>
                <w:sz w:val="18"/>
                <w:szCs w:val="18"/>
              </w:rPr>
              <w:t>ş</w:t>
            </w:r>
            <w:r w:rsidRPr="00FA51DB">
              <w:rPr>
                <w:rFonts w:ascii="Times New Roman" w:eastAsia="ヒラギノ明朝 Pro W3" w:hAnsi="Times" w:cs="Times New Roman"/>
                <w:b/>
                <w:sz w:val="18"/>
                <w:szCs w:val="18"/>
              </w:rPr>
              <w:t>iklik Yapan Tebli</w:t>
            </w:r>
            <w:r w:rsidRPr="00FA51DB">
              <w:rPr>
                <w:rFonts w:ascii="Times New Roman" w:eastAsia="ヒラギノ明朝 Pro W3" w:hAnsi="Times" w:cs="Times New Roman"/>
                <w:b/>
                <w:sz w:val="18"/>
                <w:szCs w:val="18"/>
              </w:rPr>
              <w:t>ğ</w:t>
            </w:r>
            <w:r w:rsidRPr="00FA51DB">
              <w:rPr>
                <w:rFonts w:ascii="Times New Roman" w:eastAsia="ヒラギノ明朝 Pro W3" w:hAnsi="Times" w:cs="Times New Roman"/>
                <w:b/>
                <w:sz w:val="18"/>
                <w:szCs w:val="18"/>
              </w:rPr>
              <w:t>lerin Yay</w:t>
            </w:r>
            <w:r w:rsidRPr="00FA51DB">
              <w:rPr>
                <w:rFonts w:ascii="Times New Roman" w:eastAsia="ヒラギノ明朝 Pro W3" w:hAnsi="Times" w:cs="Times New Roman"/>
                <w:b/>
                <w:sz w:val="18"/>
                <w:szCs w:val="18"/>
              </w:rPr>
              <w:t>ı</w:t>
            </w:r>
            <w:r w:rsidRPr="00FA51DB">
              <w:rPr>
                <w:rFonts w:ascii="Times New Roman" w:eastAsia="ヒラギノ明朝 Pro W3" w:hAnsi="Times" w:cs="Times New Roman"/>
                <w:b/>
                <w:sz w:val="18"/>
                <w:szCs w:val="18"/>
              </w:rPr>
              <w:t>mland</w:t>
            </w:r>
            <w:r w:rsidRPr="00FA51DB">
              <w:rPr>
                <w:rFonts w:ascii="Times New Roman" w:eastAsia="ヒラギノ明朝 Pro W3" w:hAnsi="Times" w:cs="Times New Roman"/>
                <w:b/>
                <w:sz w:val="18"/>
                <w:szCs w:val="18"/>
              </w:rPr>
              <w:t>ığı</w:t>
            </w:r>
            <w:r w:rsidRPr="00FA51DB">
              <w:rPr>
                <w:rFonts w:ascii="Times New Roman" w:eastAsia="ヒラギノ明朝 Pro W3" w:hAnsi="Times" w:cs="Times New Roman"/>
                <w:b/>
                <w:sz w:val="18"/>
                <w:szCs w:val="18"/>
              </w:rPr>
              <w:t xml:space="preserve"> Resm</w:t>
            </w:r>
            <w:r w:rsidRPr="00FA51DB">
              <w:rPr>
                <w:rFonts w:ascii="Times New Roman" w:eastAsia="ヒラギノ明朝 Pro W3" w:hAnsi="Times" w:cs="Times New Roman"/>
                <w:b/>
                <w:sz w:val="18"/>
                <w:szCs w:val="18"/>
              </w:rPr>
              <w:t>î</w:t>
            </w:r>
            <w:r w:rsidRPr="00FA51DB">
              <w:rPr>
                <w:rFonts w:ascii="Times New Roman" w:eastAsia="ヒラギノ明朝 Pro W3" w:hAnsi="Times" w:cs="Times New Roman"/>
                <w:b/>
                <w:sz w:val="18"/>
                <w:szCs w:val="18"/>
              </w:rPr>
              <w:t xml:space="preserve"> Gazete'nin</w:t>
            </w:r>
          </w:p>
        </w:tc>
      </w:tr>
      <w:tr w:rsidR="00FA51DB" w:rsidRPr="00FA51DB">
        <w:trPr>
          <w:jc w:val="center"/>
        </w:trPr>
        <w:tc>
          <w:tcPr>
            <w:tcW w:w="4254" w:type="dxa"/>
            <w:gridSpan w:val="2"/>
            <w:tcBorders>
              <w:top w:val="nil"/>
              <w:left w:val="single" w:sz="4" w:space="0" w:color="auto"/>
              <w:bottom w:val="single" w:sz="4" w:space="0" w:color="auto"/>
              <w:right w:val="nil"/>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b/>
                <w:sz w:val="18"/>
                <w:szCs w:val="18"/>
              </w:rPr>
            </w:pPr>
            <w:r w:rsidRPr="00FA51DB">
              <w:rPr>
                <w:rFonts w:ascii="Times New Roman" w:eastAsia="ヒラギノ明朝 Pro W3" w:hAnsi="Times" w:cs="Times New Roman"/>
                <w:b/>
                <w:sz w:val="18"/>
                <w:szCs w:val="18"/>
              </w:rPr>
              <w:t>Say</w:t>
            </w:r>
            <w:r w:rsidRPr="00FA51DB">
              <w:rPr>
                <w:rFonts w:ascii="Times New Roman" w:eastAsia="ヒラギノ明朝 Pro W3" w:hAnsi="Times" w:cs="Times New Roman"/>
                <w:b/>
                <w:sz w:val="18"/>
                <w:szCs w:val="18"/>
              </w:rPr>
              <w:t>ı</w:t>
            </w:r>
            <w:r w:rsidRPr="00FA51DB">
              <w:rPr>
                <w:rFonts w:ascii="Times New Roman" w:eastAsia="ヒラギノ明朝 Pro W3" w:hAnsi="Times" w:cs="Times New Roman"/>
                <w:b/>
                <w:sz w:val="18"/>
                <w:szCs w:val="18"/>
              </w:rPr>
              <w:t>s</w:t>
            </w:r>
            <w:r w:rsidRPr="00FA51DB">
              <w:rPr>
                <w:rFonts w:ascii="Times New Roman" w:eastAsia="ヒラギノ明朝 Pro W3" w:hAnsi="Times" w:cs="Times New Roman"/>
                <w:b/>
                <w:sz w:val="18"/>
                <w:szCs w:val="18"/>
              </w:rPr>
              <w:t>ı</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28/7/2007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26596</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31/12/2008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27097</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21/11/2009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27413</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22/11/2009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27414</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26/2/2010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27505</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16/5/2011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27936</w:t>
            </w:r>
          </w:p>
        </w:tc>
      </w:tr>
      <w:tr w:rsidR="00FA51DB" w:rsidRPr="00FA51DB">
        <w:trPr>
          <w:jc w:val="center"/>
        </w:trPr>
        <w:tc>
          <w:tcPr>
            <w:tcW w:w="43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FA51DB">
              <w:rPr>
                <w:rFonts w:ascii="Times New Roman" w:eastAsia="ヒラギノ明朝 Pro W3" w:hAnsi="Times" w:cs="Times New Roman"/>
                <w:sz w:val="18"/>
                <w:szCs w:val="18"/>
              </w:rPr>
              <w:t>22/3/2012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1DB" w:rsidRPr="00FA51DB" w:rsidRDefault="00FA51DB" w:rsidP="00FA51DB">
            <w:pPr>
              <w:tabs>
                <w:tab w:val="left" w:pos="566"/>
              </w:tabs>
              <w:spacing w:after="0" w:line="240" w:lineRule="exact"/>
              <w:jc w:val="center"/>
              <w:rPr>
                <w:rFonts w:ascii="Times New Roman" w:eastAsia="ヒラギノ明朝 Pro W3" w:hAnsi="Times" w:cs="Times New Roman"/>
                <w:sz w:val="18"/>
                <w:szCs w:val="18"/>
              </w:rPr>
            </w:pPr>
            <w:r w:rsidRPr="00FA51DB">
              <w:rPr>
                <w:rFonts w:ascii="Times New Roman" w:eastAsia="ヒラギノ明朝 Pro W3" w:hAnsi="Times" w:cs="Times New Roman"/>
                <w:sz w:val="18"/>
                <w:szCs w:val="18"/>
              </w:rPr>
              <w:t>28241</w:t>
            </w:r>
          </w:p>
        </w:tc>
      </w:tr>
    </w:tbl>
    <w:p w:rsidR="00FA51DB" w:rsidRDefault="00FA51DB"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FA51D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A2"/>
    <w:family w:val="swiss"/>
    <w:pitch w:val="variable"/>
    <w:sig w:usb0="20002A87" w:usb1="00000000" w:usb2="00000000" w:usb3="00000000" w:csb0="000001FF" w:csb1="00000000"/>
  </w:font>
  <w:font w:name="Times">
    <w:panose1 w:val="02020603050405020304"/>
    <w:charset w:val="A2"/>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2DC2"/>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1DB"/>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character" w:customStyle="1" w:styleId="normal10">
    <w:name w:val="normal1"/>
    <w:rsid w:val="00FA51DB"/>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2898</Words>
  <Characters>16522</Characters>
  <Application>Microsoft Office Word</Application>
  <DocSecurity>0</DocSecurity>
  <Lines>137</Lines>
  <Paragraphs>38</Paragraphs>
  <ScaleCrop>false</ScaleCrop>
  <Company>TURMOB</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378</cp:revision>
  <cp:lastPrinted>2012-08-29T06:03:00Z</cp:lastPrinted>
  <dcterms:created xsi:type="dcterms:W3CDTF">2012-06-01T06:02:00Z</dcterms:created>
  <dcterms:modified xsi:type="dcterms:W3CDTF">2012-12-14T06:39:00Z</dcterms:modified>
</cp:coreProperties>
</file>