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7D1089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28503</w:t>
      </w:r>
      <w:proofErr w:type="gramEnd"/>
    </w:p>
    <w:p w:rsidR="007D1089" w:rsidRDefault="007D1089" w:rsidP="007D1089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noProof/>
          <w:sz w:val="18"/>
          <w:lang w:val="en-GB" w:eastAsia="tr-TR"/>
        </w:rPr>
      </w:pPr>
      <w:r w:rsidRPr="007D1089">
        <w:rPr>
          <w:rFonts w:ascii="Times New Roman" w:eastAsia="Times New Roman" w:hAnsi="Times New Roman" w:cs="Times New Roman"/>
          <w:b/>
          <w:noProof/>
          <w:sz w:val="18"/>
          <w:lang w:val="en-GB" w:eastAsia="tr-TR"/>
        </w:rPr>
        <w:tab/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noProof/>
          <w:sz w:val="18"/>
          <w:szCs w:val="18"/>
          <w:u w:val="single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  <w:u w:val="single"/>
        </w:rPr>
        <w:t>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  <w:u w:val="single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  <w:u w:val="single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  <w:u w:val="single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  <w:u w:val="single"/>
        </w:rPr>
        <w:t>k ve Ticaret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  <w:u w:val="single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  <w:u w:val="single"/>
        </w:rPr>
        <w:t>ndan:</w:t>
      </w:r>
    </w:p>
    <w:p w:rsidR="00F27E34" w:rsidRPr="00F27E34" w:rsidRDefault="00F27E34" w:rsidP="00F27E34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G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K GENEL TEBL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İĞİ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(TRANS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T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İŞ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LEMLER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) (SER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NO:3)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’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NDE</w:t>
      </w:r>
    </w:p>
    <w:p w:rsidR="00F27E34" w:rsidRPr="00F27E34" w:rsidRDefault="00F27E34" w:rsidP="00F27E3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DE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ĞİŞİ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KL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K YAPILMASINA DA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R TEBL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İĞ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(TRANS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T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İŞ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LEMLER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)</w:t>
      </w:r>
    </w:p>
    <w:p w:rsidR="00F27E34" w:rsidRPr="00F27E34" w:rsidRDefault="00F27E34" w:rsidP="00F27E34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(SER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NO: 4)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bCs/>
          <w:noProof/>
          <w:sz w:val="18"/>
          <w:szCs w:val="18"/>
        </w:rPr>
        <w:t xml:space="preserve">MADDE 1 </w:t>
      </w:r>
      <w:r w:rsidRPr="00F27E34">
        <w:rPr>
          <w:rFonts w:ascii="Times New Roman" w:eastAsia="ヒラギノ明朝 Pro W3" w:hAnsi="Times" w:cs="Times New Roman"/>
          <w:b/>
          <w:bCs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24/7/2012 tarihli ve 28363 say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Resm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î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Gazete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’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de yay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mlanan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Genel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i (Transit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İş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lemleri) (Seri No:3)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’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nin 1 inci maddesinin birinci 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kras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na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“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ham petrol,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ibaresinden sonra gelmek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zere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“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nafta, fuel-oil, gazya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ibaresi eklenmi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2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Ayn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in 3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maddesinin birinci 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kras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daki bent eklenmi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“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d)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firma: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R2 yetki belgesi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halinde, R2 yetki belgesi sahibi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leri organizat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;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C2 veya L2 yetki belgesi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halinde ise C2 veya L2 yetki belgesi sahibi firmay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3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Ayn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in 4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maddesi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daki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ekilde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tirilmi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“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4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(1) Ham petrol, benzin, nafta, gazya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motorin ve jet yak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 karayolu ve demiryolu ile transitini yapmak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zere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vurusunda bulunacak firmalar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en az bir senedir faaliyette bulunmas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rkiye'de yerle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ik ve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rk Ticaret Siciline kay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denmi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sermayesinin en az 4.000.000 TL olmas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gerekir.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(2)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lkemizden Irak'a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lacak benzin, gazya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motorin ve jet yak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veya Irak'tan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lkemize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lacak ham petrol ve nafta sevkiyatlar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ile ilgili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menin,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rkiye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zerinden transit edilmek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zere Irak'ta yetkili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veya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kapsamdaki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malara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kin olarak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 yapma izni verilen ki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iler taraf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imzalanmas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artt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mede izin sahibi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 konusu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sevkiyat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rkiye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zerinden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lacak oldu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unun,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 miktar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ve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belirtilmesi gerekir.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(3) Ham petrol, nafta, fuel-oil, gazya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benzin, motorin ve jet yak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transitini yapacak izin sahibi ve/veya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ticarete konu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ne uygun ilgili kurumlardan mevzuatlar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gere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ince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izin, ruhsat, lisans ve/veya yetki belgesi sahibi olmas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gerekir.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(4)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ndaki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nlerin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karayolu ile tehlikeli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uygun,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rk plakal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say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sal (dijital) takograf donan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takip sistemini haiz ve 13/10/1983 tarihli ve 2918 say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Karayollar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Trafik Kanunu uyar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nca muayeneleri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larla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(5)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rcistan'dan Nah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van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zerk Cumhuriyeti'ne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rkiye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zerinden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lacak motorin, benzin ve jet yak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sevkiyatlar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kin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melerde, yetkili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veya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 yetki verilmi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iler taraf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imzalanm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olma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art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aranmaz.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(6)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rcistan'dan Nah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van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zerk Cumhuriyeti'ne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rkiye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zerinden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lacak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malarda, yabanc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plakal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 da kullan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labilir. Bu durumda, arac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karayolu ile tehlikeli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uygun, say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sal (dijital) takograf donan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takip sistemini haiz ve kay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oldu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u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lkede usul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ne uygun muayenesi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olmas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art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aran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(7) 2/3/2005 tarihli ve 5307 say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Petrol Gazlar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(LPG) Piyasas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Kanunu ve Elektrik Piyasas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Kanununda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iklik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Dair Kanunun Ge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ici 6 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maddesi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temin edilecek olan fuel-oilin transiti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lere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kin 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mleri uygulan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(8) Verilen izinlerin devir ve temlikine dair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racaatlar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erlendirmeye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nmaz.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4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Ayn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5 inci maddesi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yla birlikte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daki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ekilde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tirilmi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“Ö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n izin ba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vurusu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5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(1) Ham petrol, benzin, motorin, nafta, gazya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 jet yak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transitini yapacak firma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 (G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kler Genel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)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rne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i Ek-1'de yer alan form ile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vurusunda bulunur.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(2)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mzalanm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menin ve yeminli terc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man taraf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terc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mesinin noter tasdikli suretleri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formuna eklenir.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(3)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menin Irak'ta yetkili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kapsamdaki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malara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kin olarak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 yapma izni verilen ki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iler ile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halinde, bu yetkinin verildi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ine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kin belgenin yeminli terc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man taraf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terc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mesi ile birlikte noter tasdikli sureti de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formuna eklenir.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(4)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vurusunda bulunan firmalar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adli takibat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devam eden bir hususa rastlan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halinde, adli makamlarca buna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kin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erlendirme sonu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ncaya kadar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 konusu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ayn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veya benzer konuya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kin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reddedilir.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(5)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kabul edilip edilmedi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vuru sahibine bildirilir.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vurusu reddedilen firmalar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vurusunda bulunamaz.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5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Ayn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6 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maddesinin birinci 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kras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nda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“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motorin,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ibaresinden sonra gelmek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zere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“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nafta, fuel-oil, gazya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ibaresi eklenmi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 ayn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maddeye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daki 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kra eklenmi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“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(3)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ger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tirecek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lerin 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soyad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 T.C. Kimlik Numaralar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anne ve baba adlar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ile do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um yerleri ve tarih bilgilerinin kay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oldu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u liste ile bu listelere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kin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iklikler, 7 nci madde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nacak izni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lastRenderedPageBreak/>
        <w:t>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teakip, 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lan listelerin teslim tarihinden itibaren son 15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erisinde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“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herhangi bir adli sicil ve 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iv kayd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bulunmad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dair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adli sicil belgeleri ile birlikte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 verilir.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6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Ayn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7 nci maddesi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yla birlikte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daki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ekilde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tirilmi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“İ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zin Ba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vurular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n de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erlendirilmesi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7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(1)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 firmalar ve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firmalar hakk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nihai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erlendirme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lmadan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nce, kamu 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zeni ve kamu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venli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nden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de 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zenlenen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lemleri yapmaya engel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erlendirmelerinin olup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dair ilgili kurumlar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(2)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ve/veya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ula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rma mevzuat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de 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zenlenen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yapmaya yetkili olup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kin Ula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rma, Denizcilik ve Haberle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(3)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de 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zenlenen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lemleri yapmaya engel bir hallerinin olup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hususunda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 sahibi firmalar ve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firmalar ile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ler hakk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elde edilen veriler ile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kta mevcut bulunan veriler tetkik edilerek nihai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erlendirme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(4)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lan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erlendirme sonucunda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vurusu uygun bulunanlar,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sahibine ve hareket/var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idarelerine;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vurusu uygun bulunmayanlar ise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sahibine bildirilir.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(5) 6 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maddenin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üçü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kras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nan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listeleri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üçü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kra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erlendirilerek, uygun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lenler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sahibine ve ilgili hareket ve var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idarelerine bildirilir.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7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Ayn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in 8 inci maddesinin ikinci ve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üçü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kralar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daki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ekilde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tirilmi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“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(2)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vuruda bulunan firmalar ile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sahibi, sermayesinin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zde onundan fazlas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sahip ger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 ki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 orta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ile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netim kurulu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yeleri ya da temsil ve ilzama yetkili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neticilerinden en az birisi hakk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ka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iddias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yla dava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olmas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halinde mahkemelerce aksine karar tesis edilinceye kadar,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 konusu firmalar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verilmi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izinleri ask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r, yeni izin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reddedilir.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(3) Haklar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ka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ktan kesinle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mahk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û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miyet karar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bulunan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slar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n; sahibi, sermayesinin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zde onundan fazlas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sahip ger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 ki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 orta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ile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netim kurulu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yeleri ya da temsil ve ilzama yetkili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neticisi oldu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u firmalar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verilmi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izinleri iptal edilir. Bu tarihten sonraki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erlendirmeye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nmaz.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8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Ayn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10 uncu maddesi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daki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ekilde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tirilmi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“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10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(1)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izin verilen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malar yaln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zca izinde belirtilen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lerle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da belirtilen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hlar kullan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larak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 ve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 esnas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 ancak konaklama, denetleme ve kontrol noktalar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durabilir: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a) Ham petrol, benzin, motorin, gazya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 jet yak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transitinde;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1)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skenderun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nden hareketle, 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rtyol-Bah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e-Gaziantep-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urfa-K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ltepe-Cizre-Nusaybin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takip edilerek Habur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2) Mersin Akaryak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nden hareketle, Adana-Bah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e-Gaziantep-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urfa-K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ltepe-Cizre-Nusaybin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takip edilerek Habur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3) Sarp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nden hareketle, Hopa-Artvin-Olur-G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le-Kars (veya Hopa-Artvin-Ardahan-Hask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y-Susuz-Kars)-Digor-Tuzluca-I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r-Aral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takip edilerek Dilucu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takip edilir. Hava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artlar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veya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cbir sebep durumunda farkl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 belirlenebilir.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b) Nafta ve fuel-oil transiti hareket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idaresi taraf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belirlenen zorunlu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 takip edilerek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(2)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nda,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rkiye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B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lgesinde karayolu ile ger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tirilecek sevkiyatlar,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yapacak olan firmalar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kendi filolar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kulland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takip sistemi vas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yla izlenir. Firma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ndaki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malar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kendi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takip sisteminde 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rt edici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aretler olu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turur ve hareket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idaresine 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lan sistem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birden fazla kullan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eri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imine uygun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ifre verir. Hareket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idaresince 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lan eri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im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ifresi var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idaresi ile zorunlu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h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zerinde bulunan kolluk birimlerine bildirilir. Ayr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ca,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yapacak olan firmalar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filolar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ndaki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zetimi haricinde de gerek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hallerde kontrolleri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labilir.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(3)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lgili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filosundaki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larda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ekiciden ayr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labilir dorse tanker bulunmas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 bu dorse tanker ile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halinde dorse tankerin takip edilebilmesi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firmalar taraf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gerekli tedbirler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 Bakanl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gerekli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takdirde mevcut sistemlere ilaveten ek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venlik tedbirleri almaya yetkilidir.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(4)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lacak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malarda hareket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idarelerince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daki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lemler ger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tirilir: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a) Her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mada;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1)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larda bulunan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takip sisteminin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p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2) Tanker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 kapaklar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vidal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olup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klipsli kapaklarda mente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 vidalar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per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inli olup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mente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 vidalar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 tatbiki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delikli vida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olup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mente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 pimlerinin kesilmesinin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olup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3) Say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sal (dijital) takograflar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p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4) 2918 say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Kanun uyar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nca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muayenelerinin ge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erli olup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5)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suiistimal edebilecek ek donan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bulunup bulunmad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6)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rk plakal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larda, arac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veya alt nakliye firmas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yetki belgesinde kay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olup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; yabanc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plakal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larda ise ula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rma mevzuat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gere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 istenen belgelere sahip olup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7)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7 nci maddenin be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inci 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kras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bildirilen listelerde yer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p almad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lastRenderedPageBreak/>
        <w:t>kontrol edilir. Bu kriterlerden herhangi birini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mayan arac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veya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 yapmas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izin verilmez.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b) Irak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’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tan ham petrol, nafta ve fuel-oil sevkiyatlar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ile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rcistan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’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dan Nah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van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zerk Cumhuriyetine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lacak motorin, benzin ve jet yak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sevkiyatlar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nda;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1) Mahre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lkesinden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analiz raporu ve 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 terc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mesi ile tart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 transit beyannamesine eklenir, beyannamede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tarifesi belirtilir.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2)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ncelikle macun tahlili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ntemiyle tespiti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r.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phe halinde numune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narak tahlile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nderilir.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tahlile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nderildi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ine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kin beyanname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zerine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klama 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3) Arac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ilgili yerleri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rlenerek tahlil sonucu beklenilmeksizin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var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idaresine sevk edilir.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c) Irak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’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lacak benzin, gazya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motorin ve jet yak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sevkiyatlar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nda; 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lan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antrepoya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rken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tahlil sonu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 tart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 transit beyannamesine eklenir, beyannamede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tarifesi belirtilir.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niteli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inin belirlenmesi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antrepodaki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analiz raporu esast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 Arac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ilgili yerleri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rlenerek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var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idaresine sevk edilir.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(5) 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var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idarelerince 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daki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lemler ger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tirilir;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a) Arac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rleri kontrol edilir, macun tahlili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ntemi ile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tespiti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r.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phe halinde takograf ve ara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takip sistemi bilgileri kontrol edilir.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phenin devam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halinde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yadan numune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narak tahlile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nderilir. Bu durumda, tahlil sonucu gelmeden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tahliyesine/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izin verilmez.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b) Hareket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idaresince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tahlile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nderilmi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olmas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halinde birinci bent 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mleri sakl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kalmak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zere,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yadan numune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narak tahlile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nderilir ve 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tahliyesine /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izin verilir. Tahlil sonu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teakip gerekli kontrol ve kar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teminen hareket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idaresine sonu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 bildirilir. Sonu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farkl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halinde hareket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idaresince mevzuat 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hilinde gerekli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lem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”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9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Ayn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(2) numaral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eki ekteki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ekilde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tirilmi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tir.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10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yay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tarihinde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 girer.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MADDE 11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–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Bu Tebli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h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mlerini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 ve Ticaret Bakan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r.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right"/>
        <w:rPr>
          <w:rFonts w:ascii="Times New Roman" w:eastAsia="ヒラギノ明朝 Pro W3" w:hAnsi="Times" w:cs="Times New Roman"/>
          <w:b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EK-2</w:t>
      </w:r>
    </w:p>
    <w:p w:rsidR="00F27E34" w:rsidRPr="00F27E34" w:rsidRDefault="00F27E34" w:rsidP="00F27E34">
      <w:pPr>
        <w:tabs>
          <w:tab w:val="left" w:pos="566"/>
        </w:tabs>
        <w:spacing w:before="56" w:after="85" w:line="240" w:lineRule="exact"/>
        <w:jc w:val="center"/>
        <w:rPr>
          <w:rFonts w:ascii="Times New Roman" w:eastAsia="ヒラギノ明朝 Pro W3" w:hAnsi="Times" w:cs="Times New Roman"/>
          <w:b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BA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 xml:space="preserve">VURUDA 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STEN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b/>
          <w:noProof/>
          <w:sz w:val="18"/>
          <w:szCs w:val="18"/>
        </w:rPr>
        <w:t>LEN BELGELER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1)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antetli ka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da yaz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firma yetkilisi veya yetkililerince imzalanm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ticari unvan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ile merkez ve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ube adresleri ile ileti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im bilgilerini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eren dilek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2) Firma ve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kurulu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lan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iklikler 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hil b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 Ticaret Sicil Gazeteleri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rnekleri,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3)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lgili Ticaret ve Sanayi Odas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yeli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inin devam etti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ine ve en az bir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 faaliyette bulundu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una dair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nacak yaz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4)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sosyal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venlik prim borcu bulunmad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dair ilgili kurumdan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nacak yaz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5) Firmada ve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firmada temsil ve ilzama yetkili 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nanlar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n; 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soyad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T.C. Kimlik Numaralar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 unvan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n, tatbik imzas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n, yetki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yer ald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imza sirk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leri,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6)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ve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sahibi, sermayesinin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zde onundan fazlas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sahip ger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ek ki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 ortaklar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netim kurulu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yeleri ve temsil ve ilzama yetkili 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neticileri hakk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Cumhuriyet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savc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vurudan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nceki son onbe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g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ü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inde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iv bilgilerini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erir Adli Sicil Kayd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7)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 firman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vergi borcu bulunmad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ve 213 say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Vergi Usul Kanununda belirtilen vergi ka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ak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ili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kin fiillerden mahk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û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 olmad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dair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bulunulan vergi dairesinden al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nacak yaz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8)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 sahibi firma taraf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durumunda, firmaya ait R2 veya C2 ya da L2 Yetki Belgelerinin birer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rne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9)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man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 sahibi firma taraf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ndan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lmamas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durumunda,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 ile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lan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zle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menin noter onayl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rne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 ve ta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firmaya ait R2 veya C2 ya da L2 Yetki Belgelerinin birer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rne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i,</w:t>
      </w:r>
    </w:p>
    <w:p w:rsidR="00F27E34" w:rsidRPr="00F27E34" w:rsidRDefault="00F27E34" w:rsidP="00F27E3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noProof/>
          <w:sz w:val="18"/>
          <w:szCs w:val="18"/>
        </w:rPr>
      </w:pP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10) 5307 say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t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Petrol Gazlar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(LPG) Piyasas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Kanunu ve Elektrik Piyasas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Kanununda De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iklik Yap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lmas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na Dair Kanunun Ge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ici 6 nc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 maddesi kapsam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ı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nda temin edilecek olan fuel-oilin transiti i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ç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in ba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vuru sahibi firmaya ait D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â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hilde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İş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leme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İ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 xml:space="preserve">zin Belgesinin 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ö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rne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ğ</w:t>
      </w:r>
      <w:r w:rsidRPr="00F27E34">
        <w:rPr>
          <w:rFonts w:ascii="Times New Roman" w:eastAsia="ヒラギノ明朝 Pro W3" w:hAnsi="Times" w:cs="Times New Roman"/>
          <w:noProof/>
          <w:sz w:val="18"/>
          <w:szCs w:val="18"/>
        </w:rPr>
        <w:t>i.</w:t>
      </w:r>
    </w:p>
    <w:p w:rsidR="00F27E34" w:rsidRDefault="00F27E34" w:rsidP="007D1089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noProof/>
          <w:sz w:val="18"/>
          <w:lang w:val="en-GB" w:eastAsia="tr-TR"/>
        </w:rPr>
      </w:pPr>
    </w:p>
    <w:sectPr w:rsidR="00F27E3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1E27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B4572"/>
    <w:rsid w:val="007C11EB"/>
    <w:rsid w:val="007C3EE8"/>
    <w:rsid w:val="007D05A8"/>
    <w:rsid w:val="007D1089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271E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27E34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2143</Words>
  <Characters>12221</Characters>
  <Application>Microsoft Office Word</Application>
  <DocSecurity>0</DocSecurity>
  <Lines>101</Lines>
  <Paragraphs>28</Paragraphs>
  <ScaleCrop>false</ScaleCrop>
  <Company>TURMOB</Company>
  <LinksUpToDate>false</LinksUpToDate>
  <CharactersWithSpaces>14336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386</cp:revision>
  <cp:lastPrinted>2012-12-19T07:10:00Z</cp:lastPrinted>
  <dcterms:created xsi:type="dcterms:W3CDTF">2012-06-01T06:02:00Z</dcterms:created>
  <dcterms:modified xsi:type="dcterms:W3CDTF">2012-12-20T06:33:00Z</dcterms:modified>
</cp:coreProperties>
</file>