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EA" w:rsidRDefault="00F310DC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  <w:r w:rsidRPr="00F310DC">
        <w:rPr>
          <w:rFonts w:eastAsia="Times New Roman" w:hAnsi="Times New Roman"/>
          <w:b/>
          <w:sz w:val="20"/>
          <w:lang w:eastAsia="tr-TR"/>
        </w:rPr>
        <w:t>29 Aralık 2012 Tarih,</w:t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>
        <w:rPr>
          <w:rFonts w:eastAsia="Times New Roman" w:hAnsi="Times New Roman"/>
          <w:b/>
          <w:sz w:val="20"/>
          <w:lang w:eastAsia="tr-TR"/>
        </w:rPr>
        <w:t xml:space="preserve"> </w:t>
      </w:r>
      <w:r w:rsidRPr="00F310DC">
        <w:rPr>
          <w:rFonts w:eastAsia="Times New Roman" w:hAnsi="Times New Roman"/>
          <w:b/>
          <w:sz w:val="20"/>
          <w:lang w:eastAsia="tr-TR"/>
        </w:rPr>
        <w:t xml:space="preserve">Sayı: 28512 </w:t>
      </w:r>
    </w:p>
    <w:p w:rsidR="00F032EA" w:rsidRDefault="00F032EA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p w:rsidR="0052195E" w:rsidRDefault="0052195E" w:rsidP="0052195E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(Hazine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)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tan:</w:t>
      </w:r>
    </w:p>
    <w:p w:rsidR="0052195E" w:rsidRDefault="0052195E" w:rsidP="0052195E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ZORUNLU DEPREM S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GORTASI GENEL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ARTLARINDA 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52195E" w:rsidRDefault="0052195E" w:rsidP="0052195E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YAPILMASINA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 GENEL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</w:p>
    <w:p w:rsidR="0052195E" w:rsidRDefault="0052195E" w:rsidP="0052195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13/5/2011</w:t>
      </w:r>
      <w:proofErr w:type="gramEnd"/>
      <w:r>
        <w:rPr>
          <w:sz w:val="18"/>
          <w:szCs w:val="18"/>
        </w:rPr>
        <w:t xml:space="preserve"> tarihli ve 27933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Zorunlu Deprem Sigortas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A.1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587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6305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Afet Sigortalar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olarak,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tsunami</w:t>
      </w:r>
      <w:proofErr w:type="spellEnd"/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dev dalga (</w:t>
      </w:r>
      <w:proofErr w:type="spellStart"/>
      <w:r>
        <w:rPr>
          <w:sz w:val="18"/>
          <w:szCs w:val="18"/>
        </w:rPr>
        <w:t>tsunami</w:t>
      </w:r>
      <w:proofErr w:type="spellEnd"/>
      <w:r>
        <w:rPr>
          <w:sz w:val="18"/>
          <w:szCs w:val="18"/>
        </w:rPr>
        <w:t>)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52195E" w:rsidRDefault="0052195E" w:rsidP="0052195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A.2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52195E" w:rsidRDefault="0052195E" w:rsidP="0052195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A.2- Sigorta Kapsam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</w:t>
      </w:r>
      <w:r>
        <w:rPr>
          <w:b/>
          <w:sz w:val="18"/>
          <w:szCs w:val="18"/>
        </w:rPr>
        <w:t>ışı</w:t>
      </w:r>
      <w:r>
        <w:rPr>
          <w:b/>
          <w:sz w:val="18"/>
          <w:szCs w:val="18"/>
        </w:rPr>
        <w:t>nda Kalan Binalar</w:t>
      </w:r>
    </w:p>
    <w:p w:rsidR="0052195E" w:rsidRDefault="0052195E" w:rsidP="0052195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binalar bu sigortan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2195E" w:rsidRDefault="0052195E" w:rsidP="0052195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2.1- </w:t>
      </w:r>
      <w:proofErr w:type="gramStart"/>
      <w:r>
        <w:rPr>
          <w:sz w:val="18"/>
          <w:szCs w:val="18"/>
        </w:rPr>
        <w:t>9/11/1983</w:t>
      </w:r>
      <w:proofErr w:type="gramEnd"/>
      <w:r>
        <w:rPr>
          <w:sz w:val="18"/>
          <w:szCs w:val="18"/>
        </w:rPr>
        <w:t xml:space="preserve"> tarihli ve 2946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Konutlar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Kanununa t</w:t>
      </w:r>
      <w:r>
        <w:rPr>
          <w:sz w:val="18"/>
          <w:szCs w:val="18"/>
        </w:rPr>
        <w:t>â</w:t>
      </w:r>
      <w:r>
        <w:rPr>
          <w:sz w:val="18"/>
          <w:szCs w:val="18"/>
        </w:rPr>
        <w:t>bi olan veya kamu hizmet binas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binalar ve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mler,</w:t>
      </w:r>
    </w:p>
    <w:p w:rsidR="0052195E" w:rsidRDefault="0052195E" w:rsidP="0052195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2.2-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fusuna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yde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oturanlarca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civar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mezralarda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binalar,</w:t>
      </w:r>
    </w:p>
    <w:p w:rsidR="0052195E" w:rsidRDefault="0052195E" w:rsidP="0052195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2.3-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ticari veya </w:t>
      </w:r>
      <w:proofErr w:type="gramStart"/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nai</w:t>
      </w:r>
      <w:proofErr w:type="gramEnd"/>
      <w:r>
        <w:rPr>
          <w:sz w:val="18"/>
          <w:szCs w:val="18"/>
        </w:rPr>
        <w:t xml:space="preserve">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binalar,</w:t>
      </w:r>
    </w:p>
    <w:p w:rsidR="0052195E" w:rsidRDefault="0052195E" w:rsidP="0052195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2.4- Projesi bulunmayan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hendislik hizmeti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binalar,</w:t>
      </w:r>
    </w:p>
    <w:p w:rsidR="0052195E" w:rsidRDefault="0052195E" w:rsidP="0052195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2.5-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sistemi olumsuz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 etkileyecek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tadil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zay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tespit edilen binalar,</w:t>
      </w:r>
    </w:p>
    <w:p w:rsidR="0052195E" w:rsidRDefault="0052195E" w:rsidP="0052195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2.6-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sistemi olumsuz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 etkileyecek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ilgili mevzuata ve projeye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edilen binalar,</w:t>
      </w:r>
    </w:p>
    <w:p w:rsidR="0052195E" w:rsidRDefault="0052195E" w:rsidP="0052195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2.7- Yetkili kamu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karar verilen binalar ile mesken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uygun olmayan,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z, harap veya metruk binalar.</w:t>
      </w:r>
      <w:r>
        <w:rPr>
          <w:sz w:val="18"/>
          <w:szCs w:val="18"/>
        </w:rPr>
        <w:t>”</w:t>
      </w:r>
    </w:p>
    <w:p w:rsidR="0052195E" w:rsidRDefault="0052195E" w:rsidP="0052195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B.2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52195E" w:rsidRDefault="0052195E" w:rsidP="0052195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B.2- Hasar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Tespiti</w:t>
      </w:r>
    </w:p>
    <w:p w:rsidR="0052195E" w:rsidRDefault="0052195E" w:rsidP="0052195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ile sigorta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binalarda meydana gelen zarar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nedeni,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DASK</w:t>
      </w:r>
      <w:r>
        <w:rPr>
          <w:sz w:val="18"/>
          <w:szCs w:val="18"/>
        </w:rPr>
        <w:t>’ı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veya yetkili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kimselerin belirlemelerine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taraflar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mayla tespit edilir.</w:t>
      </w:r>
    </w:p>
    <w:p w:rsidR="0052195E" w:rsidRDefault="0052195E" w:rsidP="0052195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ekli bir hasar meydana gelmesi durumunda DASK, hasar tespitlerinin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ratle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labilmesini </w:t>
      </w:r>
      <w:proofErr w:type="spellStart"/>
      <w:r>
        <w:rPr>
          <w:sz w:val="18"/>
          <w:szCs w:val="18"/>
        </w:rPr>
        <w:t>teminen</w:t>
      </w:r>
      <w:proofErr w:type="spellEnd"/>
      <w:r>
        <w:rPr>
          <w:sz w:val="18"/>
          <w:szCs w:val="18"/>
        </w:rPr>
        <w:t xml:space="preserve"> teknolojik olanaklardan da yararlanarak basitle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hasar tespit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tirebilir.</w:t>
      </w:r>
      <w:r>
        <w:rPr>
          <w:sz w:val="18"/>
          <w:szCs w:val="18"/>
        </w:rPr>
        <w:t>”</w:t>
      </w:r>
    </w:p>
    <w:p w:rsidR="0052195E" w:rsidRDefault="0052195E" w:rsidP="0052195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B.5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2195E" w:rsidRDefault="0052195E" w:rsidP="0052195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C.1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maddesinin son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2195E" w:rsidRDefault="0052195E" w:rsidP="0052195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C.2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Sigorta Ettirenin Beyan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, Fesih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ptaller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maddeye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kradan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52195E" w:rsidRDefault="0052195E" w:rsidP="0052195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Sigorta ettirenin, sigorta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meskende mevzuata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DASK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meyi feshedebilir.</w:t>
      </w:r>
      <w:r>
        <w:rPr>
          <w:sz w:val="18"/>
          <w:szCs w:val="18"/>
        </w:rPr>
        <w:t>”</w:t>
      </w:r>
    </w:p>
    <w:p w:rsidR="0052195E" w:rsidRDefault="0052195E" w:rsidP="0052195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C.6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Tahkim ve Yetkili Mahkeme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maddeye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kradan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52195E" w:rsidRDefault="0052195E" w:rsidP="0052195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Sigorta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mesinden kaynaklanan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ilgili olarak,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konusu 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yelik tarihinden sonra meydana gelmi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Sigorta Tahkim Komisyonuna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vurulabilir. 5684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Sigortac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Kanununun 30 uncu maddesinin on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tutara kadar olan kararlar her iki taraf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de kesindir. Sigorta Tahkim Komisyonuna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ile ilgili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bilgi www.</w:t>
      </w:r>
      <w:proofErr w:type="spellStart"/>
      <w:r>
        <w:rPr>
          <w:sz w:val="18"/>
          <w:szCs w:val="18"/>
        </w:rPr>
        <w:t>sigortatahkim</w:t>
      </w:r>
      <w:proofErr w:type="spellEnd"/>
      <w:r>
        <w:rPr>
          <w:sz w:val="18"/>
          <w:szCs w:val="18"/>
        </w:rPr>
        <w:t>.org adresinden edinilebilir.</w:t>
      </w:r>
      <w:r>
        <w:rPr>
          <w:sz w:val="18"/>
          <w:szCs w:val="18"/>
        </w:rPr>
        <w:t>”</w:t>
      </w:r>
    </w:p>
    <w:p w:rsidR="0052195E" w:rsidRDefault="0052195E" w:rsidP="0052195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8/9/2000</w:t>
      </w:r>
      <w:proofErr w:type="gramEnd"/>
      <w:r>
        <w:rPr>
          <w:sz w:val="18"/>
          <w:szCs w:val="18"/>
        </w:rPr>
        <w:t xml:space="preserve"> tarihli ve 24164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Zorunlu Deprem Sigortas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2195E" w:rsidRDefault="0052195E" w:rsidP="0052195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Genel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artlar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52195E" w:rsidRDefault="0052195E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sectPr w:rsidR="0052195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D24C2"/>
    <w:rsid w:val="00173B24"/>
    <w:rsid w:val="00174758"/>
    <w:rsid w:val="00185C26"/>
    <w:rsid w:val="002F6EAD"/>
    <w:rsid w:val="004A3E4F"/>
    <w:rsid w:val="0052195E"/>
    <w:rsid w:val="00555B99"/>
    <w:rsid w:val="005F5A80"/>
    <w:rsid w:val="00627628"/>
    <w:rsid w:val="006C1FD6"/>
    <w:rsid w:val="00764F61"/>
    <w:rsid w:val="007F4EC0"/>
    <w:rsid w:val="009C3178"/>
    <w:rsid w:val="00B73A93"/>
    <w:rsid w:val="00C0288D"/>
    <w:rsid w:val="00C62F09"/>
    <w:rsid w:val="00CF0FFC"/>
    <w:rsid w:val="00DA0D8B"/>
    <w:rsid w:val="00E522BD"/>
    <w:rsid w:val="00E97136"/>
    <w:rsid w:val="00F032EA"/>
    <w:rsid w:val="00F310DC"/>
    <w:rsid w:val="00FB3355"/>
    <w:rsid w:val="00FD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 Baslık"/>
    <w:rsid w:val="00F032E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F032EA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F032EA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Gl">
    <w:name w:val="Strong"/>
    <w:uiPriority w:val="22"/>
    <w:qFormat/>
    <w:rsid w:val="00173B24"/>
    <w:rPr>
      <w:rFonts w:ascii="Times New Roman" w:hAnsi="Times New Roman" w:cs="Times New Roman" w:hint="default"/>
      <w:b/>
      <w:bCs/>
    </w:rPr>
  </w:style>
  <w:style w:type="paragraph" w:customStyle="1" w:styleId="2-ortabaslk0">
    <w:name w:val="2-ortabaslk"/>
    <w:basedOn w:val="Normal"/>
    <w:rsid w:val="0017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17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2840</Characters>
  <Application>Microsoft Office Word</Application>
  <DocSecurity>0</DocSecurity>
  <Lines>23</Lines>
  <Paragraphs>6</Paragraphs>
  <ScaleCrop>false</ScaleCrop>
  <Company>TURMOB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</cp:revision>
  <dcterms:created xsi:type="dcterms:W3CDTF">2013-01-02T07:10:00Z</dcterms:created>
  <dcterms:modified xsi:type="dcterms:W3CDTF">2013-01-02T07:22:00Z</dcterms:modified>
</cp:coreProperties>
</file>