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555B99" w:rsidRDefault="00555B99" w:rsidP="00555B99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555B99" w:rsidRDefault="00555B99" w:rsidP="00555B99">
      <w:pPr>
        <w:pStyle w:val="2-OrtaBaslk"/>
        <w:spacing w:before="56" w:after="226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555B99" w:rsidRDefault="00555B99" w:rsidP="00555B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55B99" w:rsidRDefault="00555B99" w:rsidP="00555B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birimlerinin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ile ortak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birimlerinin yetkilendirilmeleri, yetki belgelerinin iptali,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 kapsar.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netmelik;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8 inci ve 30 uncu maddeleri ile </w:t>
      </w:r>
      <w:proofErr w:type="gramStart"/>
      <w:r>
        <w:rPr>
          <w:sz w:val="18"/>
          <w:szCs w:val="18"/>
        </w:rPr>
        <w:t>9/1/1985</w:t>
      </w:r>
      <w:proofErr w:type="gramEnd"/>
      <w:r>
        <w:rPr>
          <w:sz w:val="18"/>
          <w:szCs w:val="18"/>
        </w:rPr>
        <w:t xml:space="preserve"> tarihli ve 3146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2 nci ve 12 nci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en: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temsilcisi: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ile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izleme, tedbir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isteme, tekliflerde bulunma ve benzeri konularda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etmeye yetkili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birimi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SGB):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kurulan, gerekli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personele sahip olan birimi,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</w:t>
      </w:r>
      <w:r>
        <w:rPr>
          <w:sz w:val="18"/>
          <w:szCs w:val="18"/>
        </w:rPr>
        <w:t>Â</w:t>
      </w:r>
      <w:r>
        <w:rPr>
          <w:sz w:val="18"/>
          <w:szCs w:val="18"/>
        </w:rPr>
        <w:t>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takip ve izlenmesi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takip ve izleme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tespit ve tavsiyeler ile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seri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iki kopyal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olan defteri,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Ortak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birimi (OSGB):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organize sanayi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lgeleri ile </w:t>
      </w:r>
      <w:proofErr w:type="gramStart"/>
      <w:r>
        <w:rPr>
          <w:sz w:val="18"/>
          <w:szCs w:val="18"/>
        </w:rPr>
        <w:t>13/1/2011</w:t>
      </w:r>
      <w:proofErr w:type="gramEnd"/>
      <w:r>
        <w:rPr>
          <w:sz w:val="18"/>
          <w:szCs w:val="18"/>
        </w:rPr>
        <w:t xml:space="preserve"> tarihli ve 6102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hizmetlerini sunmak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kurulan gerekli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personele sahip olan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yetkilendirilen birimi,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belgesine sahip,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istihdam edilen ve bu birimlerin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555B99" w:rsidRDefault="00555B99" w:rsidP="00555B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55B99" w:rsidRDefault="00555B99" w:rsidP="00555B99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hizmetleri ile ilgili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tedbirlerinin belirlenmesi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izlenmesi,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nlenmesi,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acil tedavi ile koruyucu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nitelikleri haiz bir veya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revlendirir. </w:t>
      </w:r>
      <w:proofErr w:type="gramEnd"/>
      <w:r>
        <w:rPr>
          <w:sz w:val="18"/>
          <w:szCs w:val="18"/>
        </w:rPr>
        <w:t>Gerekli nitelikleri haiz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alarak bu hizmetin yerine getirilmesini kendisi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stlenebilir.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gerekli niteliklere sahip personel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lerden hizmet alarak yerine getirebilir.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revlendirilmesi gereken durumlarda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kurar. 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gramStart"/>
      <w:r>
        <w:rPr>
          <w:sz w:val="18"/>
          <w:szCs w:val="18"/>
        </w:rPr>
        <w:t>22/5/2003</w:t>
      </w:r>
      <w:proofErr w:type="gramEnd"/>
      <w:r>
        <w:rPr>
          <w:sz w:val="18"/>
          <w:szCs w:val="18"/>
        </w:rPr>
        <w:t xml:space="preserve">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belirlenen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ile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revlendirilen personelin etkin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gerekli kolayl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 bu hususta planlama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yapmakla,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getirmeleri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 zaman gibi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lamakla,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hizmetini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koordinasyonu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>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mevzuata uygun olan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bildirilen tedbirleri yerine getirmekle,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getirebilmeleri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relerden az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yeterli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yerinden personel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revlendirmek veya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lerden hizmet almak suretiyle bu konudaki yetkilerini devreden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bu hizmetlere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devam eder.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lerin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yetki belgesi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revlendirilmesinden sorumludur.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lama ve bilgilendirme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 veya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revlendirilmesi konusunda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temsilcilerinin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temsilcisi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bilgilendirir.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bilinen veya etkilemesi muhtemel konular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yerine gelen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verenlerini bilgilendirir.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yerinden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gelen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bilgilerine,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bildirimleri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OSGB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yapar.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onayl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deftere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ilgili mevzuatta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ten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tarihinden itibaren en az 15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saklar</w:t>
      </w:r>
      <w:proofErr w:type="gramEnd"/>
      <w:r>
        <w:rPr>
          <w:sz w:val="18"/>
          <w:szCs w:val="18"/>
        </w:rPr>
        <w:t>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yeni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talep eder,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onaylayarak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noterce her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rlenmek suretiyle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tespitlere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birlikte veya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tespit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sureti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suretleri ise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Defterin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sorumludur.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yetkili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her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hak ve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 etkileyebilecek tehlikeleri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kuruluna, kurulun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bildirerek durumun tespit edilmesini ve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edebilir.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ve temsilcileri,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usulleri konusunda haberdar edilir ve elde edilen verilerin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bilgilendirilirler.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ilgili mevzuata uygun talimatlara uyar.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hizmetlerini yerine getirmek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muayenelerine, bilgilendirme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 Makine, tesisat ve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talimatlar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ve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yetkili makam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tespit edilen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ilgili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konusunda,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temsilcisi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yerindeki makine, cihaz,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tesis ve binalarda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ciddi ve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tehlike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koruma tedbirlerinde bir eksiklik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verene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temsilcisine derhal haber verir.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Hizmetin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anlara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cretsiz verilmesi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hizmetleri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mali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getirmeyecek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sunulur.</w:t>
      </w:r>
    </w:p>
    <w:p w:rsidR="00555B99" w:rsidRDefault="00555B99" w:rsidP="00555B99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55B99" w:rsidRDefault="00555B99" w:rsidP="00555B99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İş</w:t>
      </w:r>
      <w:r>
        <w:rPr>
          <w:sz w:val="18"/>
          <w:szCs w:val="18"/>
        </w:rPr>
        <w:t>yeri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Birimi ve Ortak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Birimi ile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yeri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birimi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SGB; en az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belgeye sahip en az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Bu birimde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revlendirebilir.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kurulacak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birimlerinde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lmesine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bir yerde kurulur. Bu birimin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nda ve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katta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Bu birimlerde sekizer metrekareden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muayene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12 metrekareden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bir ilkyard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 Tam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birer oda tahsis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acil durumlarda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birimine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uygun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bulundurulur.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alanda bulunur ve bu 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hizmetlerinin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lmesi amac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yla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lanacak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gerekli olmayan hallerde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getirmeleri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asgari bu maddedeki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50 ve daha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8 metrekareden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toplam iki oda temin eder.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acil durumlarda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birimine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uygun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bulundurulur.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den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hizmetini etkin verebilmesi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uygun bir yer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merkezleri,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yerlerde bulunan ve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den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tecekleri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koordinasyon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ortakla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bir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turulabilir.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ndan hizmet sunulacak toplam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 az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kra,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uygunluk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yerlerinin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 birimlerinin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 birimlerin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yerler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zorunlu olmayan hallerde,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ve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layan birim,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olarak kabul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Ortak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birimi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OSGB kurulabilmesi ve hizmet sunabilmesi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mesiyle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en az bir;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istihdam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zorunludur.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unvanla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alamaz.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(3)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ve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yetecek asgari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az 10 metrekarelik bir muayene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15 metrekarelik ilkyard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dahale, 10 metrekarelik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12 metrekarelik bekleme yeri, uygun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en az bir tuvalet ve lavabodan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  <w:proofErr w:type="gramEnd"/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sunulacak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relerden az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yetki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adresin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hizmet verebilmeleri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o ilde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istediklerinde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larlar. Ancak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birden fazla 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gereken rayl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sistem, yol ve nakil hatt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illerden herhangi birisinde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yeterlidir.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yetkilendirildikleri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izinsiz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gibi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irtibat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rosu da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amazlar.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mak istediklerinde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yerlerine hizmet verdikleri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 yetki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adreste,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 faaliyette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verilen hizmet ve faaliyetler konusunda yetkili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(8) OSGB, </w:t>
      </w:r>
      <w:proofErr w:type="gramStart"/>
      <w:r>
        <w:rPr>
          <w:sz w:val="18"/>
          <w:szCs w:val="18"/>
        </w:rPr>
        <w:t>10/2/2004</w:t>
      </w:r>
      <w:proofErr w:type="gramEnd"/>
      <w:r>
        <w:rPr>
          <w:sz w:val="18"/>
          <w:szCs w:val="18"/>
        </w:rPr>
        <w:t xml:space="preserve"> tarihli ve 25369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Bina ve Eklentilerinde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niteliklere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 ve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merkezi,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merkezleri gibi binalarda kuruluyor ise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Bina ve Eklentilerinde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yeterli kabul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tapu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olarak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mesken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binalarda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olarak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olsa dahi bodrum katlarda kurulamaz.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zemin katta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binalarda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adres veya unvan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yetki belgesinin yenilenmesi talebiyle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ilk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tabidir.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durum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bildirilir. Yeni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mlerinde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durumun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</w:t>
      </w:r>
    </w:p>
    <w:p w:rsidR="00555B99" w:rsidRDefault="00555B99" w:rsidP="00555B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55B99" w:rsidRDefault="00555B99" w:rsidP="00555B9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yeri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Birimi ile Ortak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Biriminin</w:t>
      </w:r>
    </w:p>
    <w:p w:rsidR="00555B99" w:rsidRDefault="00555B99" w:rsidP="00555B99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SGB ve OSGB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lerin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sorumluluklar</w:t>
      </w:r>
      <w:r>
        <w:rPr>
          <w:b/>
          <w:sz w:val="18"/>
          <w:szCs w:val="18"/>
        </w:rPr>
        <w:t>ı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ve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risklerine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koruyucu,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faaliyeti kapsayacak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konusunda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rehberlik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rlayarak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korumak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ve bilgilendirilmeleri konusunda planlama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kaza,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 ve bunun gibi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gerektiren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belirlenmesi, acil durum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ilkyard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organizasyonu ile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birim,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raporu,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bilgilerin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maruziyet bilgileri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periyodik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muayenesi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gizlilik ilkesine uyularak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yetki, sorumluluk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ile ilgili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ile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Yetki, Sorumluluk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verdikleri alanlarda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 yerine getirilip getirilmedi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izlenmesinden,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sorumludurlar</w:t>
      </w:r>
      <w:proofErr w:type="gramEnd"/>
      <w:r>
        <w:rPr>
          <w:sz w:val="18"/>
          <w:szCs w:val="18"/>
        </w:rPr>
        <w:t>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hizmeti sunmak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 suretleri, OSGB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ivinde tutulur ve istenmesi halinde denetime yetkili memurlara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Kendilerinden talep edilmese dahi,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sonunda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dosyalar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teslim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ve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normal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aksatmamaya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sterirler.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kuruma devredemezler.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lerce istihdam edilen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</w:t>
      </w:r>
      <w:proofErr w:type="gramStart"/>
      <w:r>
        <w:rPr>
          <w:sz w:val="18"/>
          <w:szCs w:val="18"/>
        </w:rPr>
        <w:t>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herhangi bir sebeple faaliyetlerini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belgelerinin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iptal edilmesi halinde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yetki belgelerinin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iade ederler.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revlendirme belgesi ve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durumunda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lerden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OSGB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um,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izin gibi zorunlu nedenler sebebiyle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 halinde, durum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bildirilir.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Kanunundaki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hizmetin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hesaplanan zorunlu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nmek suretiyle birden fazla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revlendirilemez.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revlendirme belgeleri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halinde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netmelikteki eklerine uygun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OSGB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shalardan biri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biri OSGB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Son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veya OSGB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 OSGB,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hizmet verecek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personelini, bu konuda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bilgilendirir.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ile Ek-4a,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Ek-4b,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Ek-4c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bu belgenin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biri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Son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c) Kamuya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657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tabi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ile Ek-5a,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Ek-5b,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ile Ek-5c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bu belgenin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biri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Son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revini kendisinin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stlenmesi durumunda,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Ek-6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tnamesi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halinde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bu belgenin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</w:t>
      </w:r>
      <w:proofErr w:type="gramStart"/>
      <w:r>
        <w:rPr>
          <w:sz w:val="18"/>
          <w:szCs w:val="18"/>
        </w:rPr>
        <w:t>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bildirilen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revlendirme belgeleri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bildirilenler ise 15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durum ilgili taraflara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personeli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yetkilerini kullanamazlar.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ile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verilemez.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Bu maddede belirtilen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belgelerinin fesih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nedenle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yitirmesi halinde,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OSGB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durum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ve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yerine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aranan niteliklere sahip personel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 Bu maddede belirtilen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belgeleri ile bu belgelere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fesih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</w:t>
      </w:r>
      <w:proofErr w:type="gramStart"/>
      <w:r>
        <w:rPr>
          <w:sz w:val="18"/>
          <w:szCs w:val="18"/>
        </w:rPr>
        <w:t>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bildirilebilir. Bu konuda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yapmaya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yetkilidir.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birli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ve koordinasyon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veya OSGB personeli,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tedbirlerin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koordinasyon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SGB veya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anlarla,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temsilcileriyle ve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22 nci maddesinde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kuruluyla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inden veya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koordinasyon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55B99" w:rsidRDefault="00555B99" w:rsidP="00555B99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Ortak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Yetkilendirilmesi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Ortak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birimlerinin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OSGB yetki belgesi almak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ekleri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Ticari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tescil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Ticaret Sicil Gazetesi ve imza yetkisi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belgeleri ile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belgeleri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OSGB sahibi veya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ise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kabul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sahibi veya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ise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tnamesi.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olan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izin belgesi.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olan ve yetkili makamlarca verilen numarataj veya adres tespit belgesi.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olan kira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veya tapu senedi veya intifa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olan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yetkili teknik eleman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1/50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plan.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 bu yerde OSGB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yetkili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belge.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(b), (c), (f) ve (g) bentlerinde belirtilen belgeler istenir. Ancak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kamu kurumuna ait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ilse (a) bendi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bentlerde belirtilen belgeler istenir.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Organize sanayi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lgelerince kurulacak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biriminden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organize sanayi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lgesine sicil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ebbis heyeti veya genel kurulunca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; ilgili adreste OSGB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karar ile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ve (d) bentleri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bentlerde belirtilen belgeler istenir.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istenen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getirilmesi halinde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Posta yoluyla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belgelerin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 gerekir.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Ortak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birimlerinin yetkilendirilmesi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OSGB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incelenir, posta yoluyla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eksiklikler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racaatlarda ise derhal bildirilir.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incelemesi tamamlanan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tespit edilen eksikliklerin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defas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fazla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fazla iki defa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eksiklikler giderilmez ise dosya iade edilir ve iadeden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boyunca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bildirilen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ait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bildirgesinin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nderilmesini takiben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adres ve unvana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adreste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 ve esaslar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Yetki belgeleri, OSGB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vize ettirilir. Vize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istenen belgelerle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inceleme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yetki belgesi almadan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tamamlamadan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faaliyetleri yapamazlar.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hususlara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sim ve unvanlar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olarak tescil ettirilir, tabela ve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evrak, bro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r, afi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elektronik ortamlarda herhangi bir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manda sadece yetki belgesinde belirtilen isim ve unvanlar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sim ve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incelenmesinde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Dil Kurumunca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saltmalar isim ve unvan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EK-8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uygun, kurum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en/boy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2/3 olan tabela,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binada,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yetkilendirilen birden fazla kurum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tabela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tek bir tabela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logosu, bu tabela haricinde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veya ortamda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olan isimler ticari isim veya unvan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OSGB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beyan edilen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bina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55B99" w:rsidRDefault="00555B99" w:rsidP="00555B99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55B99" w:rsidRDefault="00555B99" w:rsidP="00555B99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sorumluluklar</w:t>
      </w:r>
      <w:r>
        <w:rPr>
          <w:b/>
          <w:sz w:val="18"/>
          <w:szCs w:val="18"/>
        </w:rPr>
        <w:t>ı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OSGB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OSGB personelinin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revlendirilmesinin takibinden,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OSGB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ivlenmesinden,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istenen belgelerin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vuru, yetkilendirme,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takibinden,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sorumludur</w:t>
      </w:r>
      <w:proofErr w:type="gramEnd"/>
      <w:r>
        <w:rPr>
          <w:sz w:val="18"/>
          <w:szCs w:val="18"/>
        </w:rPr>
        <w:t>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tam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hekimleri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tebilir.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lerce talep edilen veya bildirilen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sadece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muhatap kabul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veya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30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yeni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durum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bildirilir.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OSGB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lerin faaliyet alanlar</w:t>
      </w:r>
      <w:r>
        <w:rPr>
          <w:b/>
          <w:sz w:val="18"/>
          <w:szCs w:val="18"/>
        </w:rPr>
        <w:t>ı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yetki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adreste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planda belirtilen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yetkilendirilmedikleri konularda hizmet veremez ve faaliyette bulunamazlar.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Ancak,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izinlerini almak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kten onay almak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hizmet verdikleri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ve analiz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adreste bulundurabilir ve ilgili personeli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rabilirler. </w:t>
      </w:r>
      <w:proofErr w:type="gramEnd"/>
      <w:r>
        <w:rPr>
          <w:sz w:val="18"/>
          <w:szCs w:val="18"/>
        </w:rPr>
        <w:t>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12 nci maddede belirtilen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olamaz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 personel 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maddede belirtilen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atanamaz.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Vize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isteyen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uygunluk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bedeli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gereklidir</w:t>
      </w:r>
      <w:proofErr w:type="gramEnd"/>
      <w:r>
        <w:rPr>
          <w:sz w:val="18"/>
          <w:szCs w:val="18"/>
        </w:rPr>
        <w:t>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yetki belgelerinin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zenlenmesinden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 fazla 60, en az 45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kala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maddede belirtilen belgelerle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eder.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bulunmayan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vize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resinin bitiminden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etmeyen ve vize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sona erdikten sonra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tamamlamam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boyunca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tamamlanmamas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yetki belgesi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htarlar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Yetki belgesinin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iptalini gerektiren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ihlallerde,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 Ek-7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de belirtilen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hafif ihlallerin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a, orta ihlallerin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60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leyecekleri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hafif ve orta ihlaller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derecenin taban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tamamlayan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en az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silinir.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Yetkilerin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iptali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yetkilendirilen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 yetki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htarlar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200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Denetim veya kontrollerde tespit edilen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en fazla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devam etmesi,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hallerinden</w:t>
      </w:r>
      <w:proofErr w:type="gramEnd"/>
      <w:r>
        <w:rPr>
          <w:sz w:val="18"/>
          <w:szCs w:val="18"/>
        </w:rPr>
        <w:t xml:space="preserve"> birinin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durumunda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Yetki belgesi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yetkilerini kullanamazlar.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 verilen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esaslara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yetki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adres veya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hizmet vermeleri,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Sunmakla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devretmeleri,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bildirilmemesi veya uygunsuzlu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bildirilmesine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durumun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zeltilmemesi ve gerekli bildirimlerin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hallerinden</w:t>
      </w:r>
      <w:proofErr w:type="gramEnd"/>
      <w:r>
        <w:rPr>
          <w:sz w:val="18"/>
          <w:szCs w:val="18"/>
        </w:rPr>
        <w:t xml:space="preserve"> birinin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halinde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ilgili birimine verilen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gerektiren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vize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Yetki belgesinin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hizmet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tespiti,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tespiti, hallerinden birinin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halinde</w:t>
      </w:r>
      <w:proofErr w:type="gramEnd"/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Yetki belgesi iptal edilen OSGB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ubelerinin kurucu veya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yer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takdirde bu ticari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iptal tarihinden itibaren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Bahsi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kurucu veya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yetkili bir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ortak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yetki belgesi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Kendi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yetki belgesini iptal eden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veya kurucular ile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OSGB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takdirde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Belgelendirme ve vize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ibraz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beyanda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sonradan tespit edilenlere ait belgeler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iptal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 veya iptal edilenlere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Yetki belgesinin iptali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hizmet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hukuki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OSGB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sorumludur.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27/11/2010</w:t>
      </w:r>
      <w:proofErr w:type="gramEnd"/>
      <w:r>
        <w:rPr>
          <w:sz w:val="18"/>
          <w:szCs w:val="18"/>
        </w:rPr>
        <w:t xml:space="preserve"> tarihli ve 27768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Yetkilendirilmi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toplum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merkezleri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yetkilendirilen toplum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merkezleri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12 nci ve 16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maddelerde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getirmeleri halinde mevcut belgeleri OSGB belgesi ile bedelsiz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50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 xml:space="preserve">den fazla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bulunan kamu kurumlar</w:t>
      </w:r>
      <w:r>
        <w:rPr>
          <w:b/>
          <w:sz w:val="18"/>
          <w:szCs w:val="18"/>
        </w:rPr>
        <w:t>ı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27/11/2010</w:t>
      </w:r>
      <w:proofErr w:type="gramEnd"/>
      <w:r>
        <w:rPr>
          <w:sz w:val="18"/>
          <w:szCs w:val="18"/>
        </w:rPr>
        <w:t xml:space="preserve"> tarihli ve 27768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hizmetleri sunmak zorunda olan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Kanununa tabi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den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hizmetleri 1/7/2014 tarihine kadar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30/12/2012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555B99" w:rsidRDefault="00555B99" w:rsidP="00555B9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55B99" w:rsidRDefault="00555B99" w:rsidP="00555B99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555B99" w:rsidRDefault="00555B99" w:rsidP="00555B99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555B99" w:rsidRDefault="00555B99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555B9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hyphenationZone w:val="425"/>
  <w:characterSpacingControl w:val="doNotCompress"/>
  <w:compat/>
  <w:rsids>
    <w:rsidRoot w:val="00F310DC"/>
    <w:rsid w:val="002F6EAD"/>
    <w:rsid w:val="00555B99"/>
    <w:rsid w:val="00627628"/>
    <w:rsid w:val="007F4EC0"/>
    <w:rsid w:val="00C62F09"/>
    <w:rsid w:val="00CF0FFC"/>
    <w:rsid w:val="00F032EA"/>
    <w:rsid w:val="00F310DC"/>
    <w:rsid w:val="00F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29-12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5149</Words>
  <Characters>29354</Characters>
  <Application>Microsoft Office Word</Application>
  <DocSecurity>0</DocSecurity>
  <Lines>244</Lines>
  <Paragraphs>68</Paragraphs>
  <ScaleCrop>false</ScaleCrop>
  <Company>TURMOB</Company>
  <LinksUpToDate>false</LinksUpToDate>
  <CharactersWithSpaces>34435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2013-01-02T07:10:00Z</dcterms:created>
  <dcterms:modified xsi:type="dcterms:W3CDTF">2013-01-02T07:14:00Z</dcterms:modified>
</cp:coreProperties>
</file>