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6C1FD6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6C1FD6" w:rsidRPr="006C1FD6" w:rsidRDefault="006C1FD6" w:rsidP="006C1FD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EMEKL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RKETLER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 KURULU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MA ESASLARINA</w:t>
      </w:r>
    </w:p>
    <w:p w:rsidR="006C1FD6" w:rsidRPr="006C1FD6" w:rsidRDefault="006C1FD6" w:rsidP="006C1FD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6C1FD6" w:rsidRPr="006C1FD6" w:rsidRDefault="006C1FD6" w:rsidP="006C1FD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C1FD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C1FD6">
        <w:rPr>
          <w:rFonts w:ascii="Times New Roman" w:eastAsia="ヒラギノ明朝 Pro W3" w:hAnsi="Times" w:cs="Times New Roman"/>
          <w:sz w:val="18"/>
          <w:szCs w:val="18"/>
        </w:rPr>
        <w:t>8/1/2008</w:t>
      </w:r>
      <w:proofErr w:type="gramEnd"/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tarihli ve 26750 say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mlanan Emeklilik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irketleri Kurulu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ma Esaslar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maddesinin birinci, ikinci,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ve sekizinci f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in 16 </w:t>
      </w:r>
      <w:proofErr w:type="spellStart"/>
      <w:r w:rsidRPr="006C1FD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in 21 inci maddesine 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C1FD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lgili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lkenin d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zenleme ve denetlemeye yetkili mercileri ile 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 aras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nda ikili veya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ok tarafl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olarak imzalanm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bir 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 ve bilgi payla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halinde, bu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netmelikte yer alan ba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vurularla ilgili olarak yabanc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uyruklu veya yurt d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nda yerle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ik ki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ilerce temin edilmesi gerekli belgelerin, 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 belirlenen esaslara g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re bu mercilerden do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rudan al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veya belgeyle temini ama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lanan hususun bu mercilerce teyit edilmesi 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6C1FD6" w:rsidRPr="006C1FD6" w:rsidRDefault="006C1FD6" w:rsidP="006C1FD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6C1FD6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C1FD6" w:rsidRPr="006C1FD6" w:rsidRDefault="006C1FD6" w:rsidP="006C1FD6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1FD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1FD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C1FD6" w:rsidRPr="006C1FD6" w:rsidRDefault="006C1FD6" w:rsidP="006C1FD6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C1FD6" w:rsidRPr="006C1FD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C1FD6" w:rsidRPr="006C1FD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C1FD6" w:rsidRPr="006C1FD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1FD6">
              <w:rPr>
                <w:rFonts w:ascii="Times New Roman" w:eastAsia="ヒラギノ明朝 Pro W3" w:hAnsi="Times" w:cs="Times New Roman"/>
                <w:sz w:val="18"/>
                <w:szCs w:val="18"/>
              </w:rPr>
              <w:t>8/1/2008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sz w:val="18"/>
                <w:szCs w:val="18"/>
              </w:rPr>
              <w:t>26750</w:t>
            </w:r>
          </w:p>
        </w:tc>
      </w:tr>
      <w:tr w:rsidR="006C1FD6" w:rsidRPr="006C1FD6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C1FD6" w:rsidRPr="006C1FD6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C1FD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C1FD6" w:rsidRPr="006C1FD6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1FD6">
              <w:rPr>
                <w:rFonts w:ascii="Times New Roman" w:eastAsia="ヒラギノ明朝 Pro W3" w:hAnsi="Times" w:cs="Times New Roman"/>
                <w:sz w:val="18"/>
                <w:szCs w:val="18"/>
              </w:rPr>
              <w:t>31/7/2009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D6" w:rsidRPr="006C1FD6" w:rsidRDefault="006C1FD6" w:rsidP="006C1FD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1FD6">
              <w:rPr>
                <w:rFonts w:ascii="Times New Roman" w:eastAsia="ヒラギノ明朝 Pro W3" w:hAnsi="Times" w:cs="Times New Roman"/>
                <w:sz w:val="18"/>
                <w:szCs w:val="18"/>
              </w:rPr>
              <w:t>27305</w:t>
            </w:r>
          </w:p>
        </w:tc>
      </w:tr>
    </w:tbl>
    <w:p w:rsidR="006C1FD6" w:rsidRDefault="006C1FD6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6C1FD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2F6EAD"/>
    <w:rsid w:val="00555B99"/>
    <w:rsid w:val="005F5A80"/>
    <w:rsid w:val="00627628"/>
    <w:rsid w:val="006C1FD6"/>
    <w:rsid w:val="007F4EC0"/>
    <w:rsid w:val="00C0288D"/>
    <w:rsid w:val="00C62F09"/>
    <w:rsid w:val="00CF0FFC"/>
    <w:rsid w:val="00DA0D8B"/>
    <w:rsid w:val="00E522BD"/>
    <w:rsid w:val="00F032EA"/>
    <w:rsid w:val="00F310DC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TURMOB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</cp:revision>
  <dcterms:created xsi:type="dcterms:W3CDTF">2013-01-02T07:10:00Z</dcterms:created>
  <dcterms:modified xsi:type="dcterms:W3CDTF">2013-01-02T07:17:00Z</dcterms:modified>
</cp:coreProperties>
</file>