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FD43C7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FD43C7" w:rsidRPr="00FD43C7" w:rsidRDefault="00FD43C7" w:rsidP="00FD43C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REYSEL EMEKL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K ARACILARI HAKKINDA Y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FD43C7" w:rsidRPr="00FD43C7" w:rsidRDefault="00FD43C7" w:rsidP="00FD43C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D43C7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D43C7">
        <w:rPr>
          <w:rFonts w:ascii="Times New Roman" w:eastAsia="ヒラギノ明朝 Pro W3" w:hAnsi="Times" w:cs="Times New Roman"/>
          <w:sz w:val="18"/>
          <w:szCs w:val="18"/>
        </w:rPr>
        <w:t>29/8/2009</w:t>
      </w:r>
      <w:proofErr w:type="gram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tarihli ve 27334 say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mlanan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(a) bendinin (2) ve (3) numaral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(d) bendi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ki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 bankac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k, sigortac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k, borsa ve finans, finans,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letme, maliye, menkul 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ymetler ve sermaye piyasas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muhasebe, para ve sermaye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netimi, pazarlama ve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netimi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lisans programlar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veya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len benzer 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itim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ine sahip programlardan mezun olmak,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3) Lise veya dengi okul mezunu olmak ve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irketlerinde, sigorta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irketlerinde, sigorta acentelerinde, sigorta brokerlerinde, bankalarda, sermaye piyasas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kurumlar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 veya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len benzeri mal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 personeli olarak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yla son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toplam en az bir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reyle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olmak ya da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len kamu istihdam programlar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kin kurs ve staj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yla tamamlam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(1)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olmak isteyenler, meslek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yeterlilik ile bilgi ve becerilerinin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lmesi amac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yla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zenlenen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nava girer.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oktan se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meli olarak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 ve elektronik ortamda ger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; temel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letme, temel iktisat, finans, yat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ara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netimi, pazarlama, sigortac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zel emeklilik sistemleri, bireysel emeklilik mevzuat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 belirlenen ilgili 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 mevzuata 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kin konular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nav notu 100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zerinden en az 65 olan adaylar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 olanlar yeniden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nava girebilir.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(5)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(a) bendinin (1) ve (2) numaral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alt bentlerinde belirtilen programlarda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renimine devam edenler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nava girebilir. Bu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resi bir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(6)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lda en az iki kez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(7)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nava 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kin uygulama esaslar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narak belirlenir.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vurular,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daki hususlardan herhangi birinin varl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linde reddedilir.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a) Aday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n,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(a) bendinin (1) ve (2) numaral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alt bentlerinde belirtilen programlardan mezun veya bu programlarda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renci stat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nde bulunmamas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b) Lise veya dengi okul mezunu aday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n,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(a) bendinin (3) numaral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c) Aday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n,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 (b) ve (c) bentlerinde belirtilen nitelik ve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vuru belgelerinin eksik veya yan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yahut ger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tmamas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9 uncu maddesinin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(1)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Merkezinin internet sitesinde duyurulur.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belgesi, bireysel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vuran adaylar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adreslerine iadeli taahh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postayla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nderilir veya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Merkezinin resmi internet sitesinde aday 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olu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turulan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venli sayfadan iletilir.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vuran adaylar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belgeleri ise kendilerine iletilmek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zere ilgili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irketlere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nderilir.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Merkezinde be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reyle elektronik ortamda saklan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FD43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(1) 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nda aranan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yanlara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Merkezince Lisans belgesi verilir. Lisans belgesinin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narak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(a) bendi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vuruda bulunulan tarihten en fazla alt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iv kayd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eren adl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sicil belgesi,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(3) Lisans ve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olmadan emeklilik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mesi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lamaz.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irketler bu konuda gerekli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nlemleri almakla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15 inci maddesi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(1)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larla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lemde ve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gerekli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len her 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bilgi ve belgede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sicil numaras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olarak hi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(2) Sicile kay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irketiyle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hizmet veya acentelik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mesinin herhangi bir nedenle sona ermesi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linde, bu durum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zetim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lastRenderedPageBreak/>
        <w:t>Merkezine iletilir.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ilgili hizmet veya acentelik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mesinin sona erdi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tarihten itibaren otuz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inde veya varsa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derh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iade edilir.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17 </w:t>
      </w:r>
      <w:proofErr w:type="spellStart"/>
      <w:r w:rsidRPr="00FD43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Bireysel emeklilik arac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 faaliyetine ili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ma esaslar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(1)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yapaca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m, pazarlama,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benzeri faaliyetinde ilgili mevzuatta belirlenen esaslara uyar, mesle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icaplar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ve iyi niyet kurallar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uygun faaliyette bulunur,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hak ve menfaatleri ile bireysel emeklilik sisteminin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ini tehlikeye sokabilecek hareketlerden ka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(2)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ya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beklentilerine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re, sistemin uzun vadeli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nde bulundurarak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ya uygun tavsiyede bulunur ve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taleplerini dikkate alarak gerekli bilgi ve belgeleri 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(3)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ancak bir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yapabilir.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(4)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4632 say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 denetleme yapmaya yetkili olan merci ve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ilere,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revleriyle ilgili istenecek her 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bilgiyi vermek ve b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hesap, kay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t, defter ve belgeleri ibraz etmekle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(5)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,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 faaliyetini do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rudan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irketiyle veya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banka, sermaye piyasas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kurumu, sigorta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veya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unun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irketiyle tesis edece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tebilir. Bu kurum ve kurulu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lar, b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nyelerinde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an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bu esaslara uygun hareket etmesini sa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layacak tedbirleri almak zorundad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ktan faaliyet ruhsat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sigorta brokerleri nezdinde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an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temsil ettikleri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irketlerinden teklif alabilir.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18 inci maddesinin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(3) Tamamlay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lmayan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yetkileri iptal edilir.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yetkisi bu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iptal edilen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listesi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Merkezince internet sitesinde duyurulur. Bu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ilere ait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,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otuz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Merkezine iade edilir.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FD43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maddesinin birinci, ikinci ve 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(1)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da yer alan hususlar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tespiti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linde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daki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lemler uygulan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a) Tamamlay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aral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nem kat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tespit edilenlerin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b)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kullanmadan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tespit edilenler uyar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 Ayn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fiilin tekrar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halinde bu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ilerin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c)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izin verdi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tespit edilenler ile yetkisiz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ilerce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kendi yapm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gibi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tespit edilenlerin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) 17 </w:t>
      </w:r>
      <w:proofErr w:type="spellStart"/>
      <w:r w:rsidRPr="00FD43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tespit edilenlere,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lemin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nemine ve 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reklili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re; 4632 say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Kanunun 22 </w:t>
      </w:r>
      <w:proofErr w:type="spellStart"/>
      <w:r w:rsidRPr="00FD43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maddesinde belirtilen idari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mlar uygulan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 veya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aydan on iki aya kadar ask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 ve sat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yetkisi durdurulur.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ask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gerektiren fiilin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tekrar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halinde Lisans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d) 19 uncu maddeye ayk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tespit edilenlerin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e) Sicile kay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netmelikte aranan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haiz olmad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veya sonradan kaybetti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f)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rken yapm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lemlerden dolay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ilgili Cumhuriyet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na intikal ettirilen bir ihbar veya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yet sonucunda, mahk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miyetine karar verilen ve bu karar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en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inin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), (d) ve (e) bentlerinde belirtilen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lemler uygulanmadan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nce ilgili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ilerin savunmas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 Savunma istendi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tarihinden itibaren bir ay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savunma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nderilmemesi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linde savunma hakk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feragat edildi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kabul edilir.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 savunman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ula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teakiben veya savunma hakk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feragat edildi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llerde bir ay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erlendirme sonucunda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nan karar,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na ve varsa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irketine yaz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olarak bildirilir. Lisans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edilen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ilerin varsa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ve Lisans belgesi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taraf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ndan derh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 al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 ve bildirimin yap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tarihten itibaren en ge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Merkezine iade edilir.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(4) Kendi iste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 ile meslekten ayr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lan bireysel emeklilik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emeklilik 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irketi arac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yla otuz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inde Emeklilik G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zetim Merkezine iade etmeleri zorunludur. Bu ki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ilerin tan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 kart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43C7" w:rsidRPr="00FD43C7" w:rsidRDefault="00FD43C7" w:rsidP="00FD43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FD43C7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D43C7" w:rsidRPr="00FD43C7" w:rsidRDefault="00FD43C7" w:rsidP="00FD43C7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FD43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43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D43C7" w:rsidRPr="00FD43C7" w:rsidRDefault="00FD43C7" w:rsidP="00FD43C7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FD43C7" w:rsidRPr="00FD43C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3C7" w:rsidRPr="00FD43C7" w:rsidRDefault="00FD43C7" w:rsidP="00FD43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D43C7" w:rsidRPr="00FD43C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43C7" w:rsidRPr="00FD43C7" w:rsidRDefault="00FD43C7" w:rsidP="00FD43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43C7" w:rsidRPr="00FD43C7" w:rsidRDefault="00FD43C7" w:rsidP="00FD43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D43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FD43C7" w:rsidRPr="00FD43C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C7" w:rsidRPr="00FD43C7" w:rsidRDefault="00FD43C7" w:rsidP="00FD43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D43C7">
              <w:rPr>
                <w:rFonts w:ascii="Times New Roman" w:eastAsia="ヒラギノ明朝 Pro W3" w:hAnsi="Times" w:cs="Times New Roman"/>
                <w:sz w:val="18"/>
                <w:szCs w:val="18"/>
              </w:rPr>
              <w:t>29/8/2009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C7" w:rsidRPr="00FD43C7" w:rsidRDefault="00FD43C7" w:rsidP="00FD43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D43C7">
              <w:rPr>
                <w:rFonts w:ascii="Times New Roman" w:eastAsia="ヒラギノ明朝 Pro W3" w:hAnsi="Times" w:cs="Times New Roman"/>
                <w:sz w:val="18"/>
                <w:szCs w:val="18"/>
              </w:rPr>
              <w:t>27334</w:t>
            </w:r>
          </w:p>
        </w:tc>
      </w:tr>
    </w:tbl>
    <w:p w:rsidR="00FD43C7" w:rsidRDefault="00FD43C7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FD43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4758"/>
    <w:rsid w:val="00185C26"/>
    <w:rsid w:val="002F6EAD"/>
    <w:rsid w:val="00555B99"/>
    <w:rsid w:val="005F5A80"/>
    <w:rsid w:val="00627628"/>
    <w:rsid w:val="006C1FD6"/>
    <w:rsid w:val="007F4EC0"/>
    <w:rsid w:val="00B73A93"/>
    <w:rsid w:val="00C0288D"/>
    <w:rsid w:val="00C62F09"/>
    <w:rsid w:val="00CF0FFC"/>
    <w:rsid w:val="00DA0D8B"/>
    <w:rsid w:val="00E522BD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8727</Characters>
  <Application>Microsoft Office Word</Application>
  <DocSecurity>0</DocSecurity>
  <Lines>72</Lines>
  <Paragraphs>20</Paragraphs>
  <ScaleCrop>false</ScaleCrop>
  <Company>TURMOB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2013-01-02T07:10:00Z</dcterms:created>
  <dcterms:modified xsi:type="dcterms:W3CDTF">2013-01-02T07:19:00Z</dcterms:modified>
</cp:coreProperties>
</file>