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00" w:rsidRDefault="00693A16" w:rsidP="00284493">
      <w:pPr>
        <w:tabs>
          <w:tab w:val="left" w:pos="566"/>
          <w:tab w:val="center" w:pos="3543"/>
        </w:tabs>
        <w:spacing w:line="240" w:lineRule="exact"/>
        <w:rPr>
          <w:rStyle w:val="Normal1"/>
          <w:rFonts w:eastAsiaTheme="minorHAnsi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30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Aralık 2012 Tarih,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B6F0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(</w:t>
      </w:r>
      <w:proofErr w:type="spellStart"/>
      <w:r w:rsidR="00CB6F0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Mükkerer</w:t>
      </w:r>
      <w:proofErr w:type="spellEnd"/>
      <w:r w:rsidR="00CB6F0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 w:rsidR="0028449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2</w:t>
      </w:r>
      <w:r w:rsidR="00CB6F0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)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Sayı: 28513</w:t>
      </w:r>
      <w:r w:rsidR="00CB6F00">
        <w:rPr>
          <w:rStyle w:val="Normal1"/>
          <w:rFonts w:eastAsiaTheme="minorHAnsi"/>
          <w:b/>
          <w:sz w:val="18"/>
          <w:szCs w:val="18"/>
        </w:rPr>
        <w:tab/>
      </w:r>
    </w:p>
    <w:p w:rsidR="00D80099" w:rsidRDefault="00D80099" w:rsidP="00D80099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zetimi, Muhasebe ve Denetim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Kurulundan:</w:t>
      </w:r>
    </w:p>
    <w:p w:rsidR="00D80099" w:rsidRDefault="00D80099" w:rsidP="00D80099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TFRS 7 F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NANSAL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LAR: 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IKLAMALARA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YE</w:t>
      </w:r>
    </w:p>
    <w:p w:rsidR="00D80099" w:rsidRDefault="00D80099" w:rsidP="00D80099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F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NANSAL RAPORLAMA STANDARDI (TFRS 7) HAKKINDA TEBL</w:t>
      </w:r>
      <w:r>
        <w:rPr>
          <w:sz w:val="18"/>
          <w:szCs w:val="18"/>
        </w:rPr>
        <w:t>İĞ</w:t>
      </w:r>
    </w:p>
    <w:p w:rsidR="00D80099" w:rsidRDefault="00D80099" w:rsidP="00D80099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(SIRA NO:42)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DE</w:t>
      </w:r>
      <w:r>
        <w:rPr>
          <w:sz w:val="18"/>
          <w:szCs w:val="18"/>
        </w:rPr>
        <w:t>ĞİŞİ</w:t>
      </w:r>
      <w:r>
        <w:rPr>
          <w:sz w:val="18"/>
          <w:szCs w:val="18"/>
        </w:rPr>
        <w:t>KL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K YAPILMASINA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 TEBL</w:t>
      </w:r>
      <w:r>
        <w:rPr>
          <w:sz w:val="18"/>
          <w:szCs w:val="18"/>
        </w:rPr>
        <w:t>İĞ</w:t>
      </w:r>
    </w:p>
    <w:p w:rsidR="00D80099" w:rsidRDefault="00D80099" w:rsidP="00D80099">
      <w:pPr>
        <w:pStyle w:val="2-OrtaBaslk"/>
        <w:spacing w:after="226" w:line="240" w:lineRule="exact"/>
        <w:rPr>
          <w:sz w:val="18"/>
          <w:szCs w:val="18"/>
        </w:rPr>
      </w:pPr>
      <w:r>
        <w:rPr>
          <w:sz w:val="18"/>
          <w:szCs w:val="18"/>
        </w:rPr>
        <w:t>(SIRA NO: 4)</w:t>
      </w:r>
    </w:p>
    <w:p w:rsidR="00D80099" w:rsidRDefault="00D80099" w:rsidP="00D800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MADDE 1 </w:t>
      </w:r>
      <w:r>
        <w:rPr>
          <w:b/>
          <w:bCs/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30/1/2007</w:t>
      </w:r>
      <w:proofErr w:type="gramEnd"/>
      <w:r>
        <w:rPr>
          <w:sz w:val="18"/>
          <w:szCs w:val="18"/>
        </w:rPr>
        <w:t xml:space="preserve"> tarihli ve 26419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42 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ra </w:t>
      </w:r>
      <w:proofErr w:type="spellStart"/>
      <w:r>
        <w:rPr>
          <w:sz w:val="18"/>
          <w:szCs w:val="18"/>
        </w:rPr>
        <w:t>no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TFRS 7 Finansal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lar: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klamalara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Finansal Raporlama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(TFRS 7)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Ek-1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inde yer alan "TFRS 7 Finansal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lar: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klamalar"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44I Paragraf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D80099" w:rsidRDefault="00D80099" w:rsidP="00D800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44I. TFRS 9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un ilk uygulamas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her bir finansal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hususlar ilk uygulama tarihinde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D80099" w:rsidRDefault="00D80099" w:rsidP="00D800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(a) TMS 39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nca belirlenen orijinal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defter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eri,</w:t>
      </w:r>
    </w:p>
    <w:p w:rsidR="00D80099" w:rsidRDefault="00D80099" w:rsidP="00D800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(b) TFRS 9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nca belirlenen yeni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defter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eri,</w:t>
      </w:r>
    </w:p>
    <w:p w:rsidR="00D80099" w:rsidRDefault="00D80099" w:rsidP="00D800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(c) Daha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uygun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fark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</w:t>
      </w:r>
      <w:r>
        <w:rPr>
          <w:sz w:val="18"/>
          <w:szCs w:val="18"/>
        </w:rPr>
        <w:t>â</w:t>
      </w:r>
      <w:r>
        <w:rPr>
          <w:sz w:val="18"/>
          <w:szCs w:val="18"/>
        </w:rPr>
        <w:t>r veya zarara yans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olarak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flanan fakat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bu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lmayacak finansal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finansal durum tablosunda yer alan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.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klar, TFRS 9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un yeniden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letmenin yeniden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flamay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tercih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finansal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olarak ayr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80099" w:rsidRDefault="00D80099" w:rsidP="00D800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sal bilgiler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format uygun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rece tablo format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sunulur.</w:t>
      </w:r>
      <w:r>
        <w:rPr>
          <w:sz w:val="18"/>
          <w:szCs w:val="18"/>
        </w:rPr>
        <w:t>”</w:t>
      </w:r>
    </w:p>
    <w:p w:rsidR="00D80099" w:rsidRDefault="00D80099" w:rsidP="00D800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44M Paragraf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sonra gelmek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44S-44W Paragraflar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D80099" w:rsidRDefault="00D80099" w:rsidP="00D800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44.N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-</w:t>
      </w:r>
      <w:r>
        <w:rPr>
          <w:sz w:val="18"/>
          <w:szCs w:val="18"/>
        </w:rPr>
        <w:t>”</w:t>
      </w:r>
    </w:p>
    <w:p w:rsidR="00D80099" w:rsidRDefault="00D80099" w:rsidP="00D800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44.O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-</w:t>
      </w:r>
      <w:r>
        <w:rPr>
          <w:sz w:val="18"/>
          <w:szCs w:val="18"/>
        </w:rPr>
        <w:t>”</w:t>
      </w:r>
    </w:p>
    <w:p w:rsidR="00D80099" w:rsidRDefault="00D80099" w:rsidP="00D800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44.P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-</w:t>
      </w:r>
      <w:r>
        <w:rPr>
          <w:sz w:val="18"/>
          <w:szCs w:val="18"/>
        </w:rPr>
        <w:t>”</w:t>
      </w:r>
    </w:p>
    <w:p w:rsidR="00D80099" w:rsidRDefault="00D80099" w:rsidP="00D800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44.Q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44P.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kapsaml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gelir kalemlerinin sunumuna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TMS 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 ile 27B Paragraf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 TMS 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bu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 uyguland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nda, TFRS 7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de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D80099" w:rsidRDefault="00D80099" w:rsidP="00D800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44.R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-</w:t>
      </w:r>
      <w:r>
        <w:rPr>
          <w:sz w:val="18"/>
          <w:szCs w:val="18"/>
        </w:rPr>
        <w:t>”</w:t>
      </w:r>
    </w:p>
    <w:p w:rsidR="00D80099" w:rsidRDefault="00D80099" w:rsidP="00D800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44S. TFRS 9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rma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ilk kez uyguland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nda, TFRS 9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(bak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TFRS 9 (2010) 8.2.12 Paragraf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TFRS 9 (2011) 7.2.14 Paragraf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) bu </w:t>
      </w:r>
      <w:proofErr w:type="spellStart"/>
      <w:r>
        <w:rPr>
          <w:sz w:val="18"/>
          <w:szCs w:val="18"/>
        </w:rPr>
        <w:t>TFRS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</w:t>
      </w:r>
      <w:proofErr w:type="spellEnd"/>
      <w:r>
        <w:rPr>
          <w:sz w:val="18"/>
          <w:szCs w:val="18"/>
        </w:rPr>
        <w:t xml:space="preserve"> 44T-44W Paragraflar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yer alan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sunulmas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veya zorunlu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durumlarda, bu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klamalar sunulur.</w:t>
      </w:r>
    </w:p>
    <w:p w:rsidR="00D80099" w:rsidRDefault="00D80099" w:rsidP="00D800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44T. 44S Paragraf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nca bu </w:t>
      </w:r>
      <w:proofErr w:type="spellStart"/>
      <w:r>
        <w:rPr>
          <w:sz w:val="18"/>
          <w:szCs w:val="18"/>
        </w:rPr>
        <w:t>TFRS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</w:t>
      </w:r>
      <w:proofErr w:type="spellEnd"/>
      <w:r>
        <w:rPr>
          <w:sz w:val="18"/>
          <w:szCs w:val="18"/>
        </w:rPr>
        <w:t xml:space="preserve"> 44T-44W Paragraflar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yer alan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sunulmas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TFRS 9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un ilk uyguland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tarihte,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dakiler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sterilmek suretiyle, finansal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D80099" w:rsidRDefault="00D80099" w:rsidP="00D800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(a) Finansal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TMS 39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da yer alan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defter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erlerinde meydana gelen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imleri (TFRS 9</w:t>
      </w:r>
      <w:r>
        <w:rPr>
          <w:sz w:val="18"/>
          <w:szCs w:val="18"/>
        </w:rPr>
        <w:t>’</w:t>
      </w:r>
      <w:r>
        <w:rPr>
          <w:sz w:val="18"/>
          <w:szCs w:val="18"/>
        </w:rPr>
        <w:t>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ile birlikte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meydana gelen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iklik sonucu ortaya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kmayanlar) ve </w:t>
      </w:r>
    </w:p>
    <w:p w:rsidR="00D80099" w:rsidRDefault="00D80099" w:rsidP="00D800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(b) TFRS 9</w:t>
      </w:r>
      <w:r>
        <w:rPr>
          <w:sz w:val="18"/>
          <w:szCs w:val="18"/>
        </w:rPr>
        <w:t>’</w:t>
      </w:r>
      <w:r>
        <w:rPr>
          <w:sz w:val="18"/>
          <w:szCs w:val="18"/>
        </w:rPr>
        <w:t>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ile birlikte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meydana gelen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sonucu defter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erlerinde meydana gelen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imleri.</w:t>
      </w:r>
    </w:p>
    <w:p w:rsidR="00D80099" w:rsidRDefault="00D80099" w:rsidP="00D800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paragraftaki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TFRS 9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un ilk kez uyguland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raporlama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neminden sonra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gerekli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ildir. </w:t>
      </w:r>
    </w:p>
    <w:p w:rsidR="00D80099" w:rsidRDefault="00D80099" w:rsidP="00D800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44U. TFRS 9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un ilk kez uyguland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raporlama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neminde, TFRS 9</w:t>
      </w:r>
      <w:r>
        <w:rPr>
          <w:sz w:val="18"/>
          <w:szCs w:val="18"/>
        </w:rPr>
        <w:t>’</w:t>
      </w:r>
      <w:r>
        <w:rPr>
          <w:sz w:val="18"/>
          <w:szCs w:val="18"/>
        </w:rPr>
        <w:t>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ile birlikte,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yeniden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sonucu itfa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maliyeti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len finansal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hususlar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D80099" w:rsidRDefault="00D80099" w:rsidP="00D800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(a) Finansal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veya borcun raporlama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 sonundaki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uygun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eri,</w:t>
      </w:r>
    </w:p>
    <w:p w:rsidR="00D80099" w:rsidRDefault="00D80099" w:rsidP="00D800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(b) Finansal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veya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yeniden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olsayd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raporlama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neminde k</w:t>
      </w:r>
      <w:r>
        <w:rPr>
          <w:sz w:val="18"/>
          <w:szCs w:val="18"/>
        </w:rPr>
        <w:t>â</w:t>
      </w:r>
      <w:r>
        <w:rPr>
          <w:sz w:val="18"/>
          <w:szCs w:val="18"/>
        </w:rPr>
        <w:t>r veya zararda ya da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kapsaml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gelirde muhasebele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tirilecek olan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uygun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kazan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veya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D80099" w:rsidRDefault="00D80099" w:rsidP="00D800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(c) Yeniden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tarihinde belirlenen etkin faiz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</w:t>
      </w:r>
    </w:p>
    <w:p w:rsidR="00D80099" w:rsidRDefault="00D80099" w:rsidP="00D800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(d) Finansal tablolara yans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faiz gelir veya gideri.</w:t>
      </w:r>
    </w:p>
    <w:p w:rsidR="00D80099" w:rsidRDefault="00D80099" w:rsidP="00D80099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Bir finansal varl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veya borcun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uygun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erinin ilk uygulama tarihindeki itfa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maliyeti olarak ele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(bak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z: TFRS 9 (2010) 8.2.10 Paragraf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TFRS 9 (2011) 7.2.10 Paragraf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), bu Paragraf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(c) ve (d) bentlerinde yer alan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klamalar,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veya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finansal durum tablosu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ncaya kadar yeniden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izleyen her raporlama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proofErr w:type="gramEnd"/>
      <w:r>
        <w:rPr>
          <w:sz w:val="18"/>
          <w:szCs w:val="18"/>
        </w:rPr>
        <w:t>Aksi takdirde, bu Paragrafta yer alan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ilk uygulama tarihinin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raporlama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neminden sonra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gerekli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ildir.</w:t>
      </w:r>
    </w:p>
    <w:p w:rsidR="00D80099" w:rsidRDefault="00D80099" w:rsidP="00D800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44V. TFRS 9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un ilk uygulama tarihinde, 44S-44U Paragraflar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yer alan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sunulmas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ilk uygulama tarihinin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raporlama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neminde bu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klamalar ile TMS 8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in 28 inci Paragraf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klamalar,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bentler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mutabakata izin vermelidir:</w:t>
      </w:r>
    </w:p>
    <w:p w:rsidR="00D80099" w:rsidRDefault="00D80099" w:rsidP="00D800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(a) TMS 39 ve TFRS 9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da yer alan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</w:t>
      </w:r>
    </w:p>
    <w:p w:rsidR="00D80099" w:rsidRDefault="00D80099" w:rsidP="00D800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(b) Finansal durum tablolar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sunulan kalemler.</w:t>
      </w:r>
    </w:p>
    <w:p w:rsidR="00D80099" w:rsidRDefault="00D80099" w:rsidP="00D800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44W. TFRS 9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un ilk uygulama tarihinde, 44S-44U Paragraflar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yer alan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sunulmas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ilk uygulama tarihinde bu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klamalar ile bu </w:t>
      </w:r>
      <w:proofErr w:type="spellStart"/>
      <w:r>
        <w:rPr>
          <w:sz w:val="18"/>
          <w:szCs w:val="18"/>
        </w:rPr>
        <w:t>TFRS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</w:t>
      </w:r>
      <w:proofErr w:type="spellEnd"/>
      <w:r>
        <w:rPr>
          <w:sz w:val="18"/>
          <w:szCs w:val="18"/>
        </w:rPr>
        <w:t xml:space="preserve"> 25 inci Paragraf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klamalar,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bentler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mutabakata izin vermelidir:</w:t>
      </w:r>
    </w:p>
    <w:p w:rsidR="00D80099" w:rsidRDefault="00D80099" w:rsidP="00D800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(a) TMS 39 ve TFRS 9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nca sunulan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</w:t>
      </w:r>
    </w:p>
    <w:p w:rsidR="00D80099" w:rsidRDefault="00D80099" w:rsidP="00D800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(b) Finansal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ilk uygulama tarihindeki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  <w:r>
        <w:rPr>
          <w:sz w:val="18"/>
          <w:szCs w:val="18"/>
        </w:rPr>
        <w:t>”</w:t>
      </w:r>
    </w:p>
    <w:p w:rsidR="00D80099" w:rsidRDefault="00D80099" w:rsidP="00D800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tarihte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D80099" w:rsidRDefault="00D80099" w:rsidP="00D800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zetimi, Muhasebe ve Denetim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D80099" w:rsidRDefault="00D80099" w:rsidP="00284493">
      <w:pPr>
        <w:tabs>
          <w:tab w:val="left" w:pos="566"/>
          <w:tab w:val="center" w:pos="3543"/>
        </w:tabs>
        <w:spacing w:line="240" w:lineRule="exact"/>
        <w:rPr>
          <w:rStyle w:val="Normal1"/>
          <w:rFonts w:eastAsiaTheme="minorHAnsi"/>
          <w:b/>
          <w:sz w:val="18"/>
          <w:szCs w:val="18"/>
        </w:rPr>
      </w:pPr>
    </w:p>
    <w:sectPr w:rsidR="00D80099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16F63"/>
    <w:multiLevelType w:val="hybridMultilevel"/>
    <w:tmpl w:val="A664BD7A"/>
    <w:lvl w:ilvl="0" w:tplc="A2EE0F3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F310DC"/>
    <w:rsid w:val="00041BFC"/>
    <w:rsid w:val="000C2AC7"/>
    <w:rsid w:val="000D4C42"/>
    <w:rsid w:val="00284493"/>
    <w:rsid w:val="00627628"/>
    <w:rsid w:val="0064009E"/>
    <w:rsid w:val="00693A16"/>
    <w:rsid w:val="007F4EC0"/>
    <w:rsid w:val="009A3577"/>
    <w:rsid w:val="00CB6F00"/>
    <w:rsid w:val="00D80099"/>
    <w:rsid w:val="00D8452F"/>
    <w:rsid w:val="00E22D86"/>
    <w:rsid w:val="00F31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310DC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3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 Baslık"/>
    <w:rsid w:val="00693A16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693A1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1-Baslk">
    <w:name w:val="1-Baslık"/>
    <w:rsid w:val="00D8452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D845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Default">
    <w:name w:val="Default"/>
    <w:rsid w:val="00D845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730</Words>
  <Characters>4163</Characters>
  <Application>Microsoft Office Word</Application>
  <DocSecurity>0</DocSecurity>
  <Lines>34</Lines>
  <Paragraphs>9</Paragraphs>
  <ScaleCrop>false</ScaleCrop>
  <Company>TURMOB</Company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14</cp:revision>
  <dcterms:created xsi:type="dcterms:W3CDTF">2013-01-02T07:10:00Z</dcterms:created>
  <dcterms:modified xsi:type="dcterms:W3CDTF">2013-01-02T07:38:00Z</dcterms:modified>
</cp:coreProperties>
</file>