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B160C2" w:rsidRDefault="00B160C2" w:rsidP="00B160C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B160C2" w:rsidRDefault="00B160C2" w:rsidP="00B160C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 RAPORLAMA</w:t>
      </w:r>
    </w:p>
    <w:p w:rsidR="00B160C2" w:rsidRDefault="00B160C2" w:rsidP="00B160C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STANDARDI (TFRS 9) HAKKINDA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(SIRA NO: 211)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</w:p>
    <w:p w:rsidR="00B160C2" w:rsidRDefault="00B160C2" w:rsidP="00B160C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 YAPILMASINA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B160C2" w:rsidRDefault="00B160C2" w:rsidP="00B160C2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(SIRA NO: 3)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20/3/2011</w:t>
      </w:r>
      <w:proofErr w:type="gramEnd"/>
      <w:r>
        <w:rPr>
          <w:sz w:val="18"/>
          <w:szCs w:val="18"/>
        </w:rPr>
        <w:t xml:space="preserve"> tarihli ve 27880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211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9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1/1/2015</w:t>
      </w:r>
      <w:proofErr w:type="gramEnd"/>
      <w:r>
        <w:rPr>
          <w:sz w:val="18"/>
          <w:szCs w:val="18"/>
        </w:rPr>
        <w:t xml:space="preserve">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uygulayabilir.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gramStart"/>
      <w:r>
        <w:rPr>
          <w:sz w:val="18"/>
          <w:szCs w:val="18"/>
        </w:rPr>
        <w:t>27/4/2010</w:t>
      </w:r>
      <w:proofErr w:type="gramEnd"/>
      <w:r>
        <w:rPr>
          <w:sz w:val="18"/>
          <w:szCs w:val="18"/>
        </w:rPr>
        <w:t xml:space="preserve"> tarihli ve 27564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1/1/2015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ekindeki TFRS 9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erken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tercih etmeleri durumunda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</w:t>
      </w:r>
      <w:proofErr w:type="spellEnd"/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uygular.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1/1/2015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 </w:t>
      </w:r>
      <w:proofErr w:type="gramStart"/>
      <w:r>
        <w:rPr>
          <w:sz w:val="18"/>
          <w:szCs w:val="18"/>
        </w:rPr>
        <w:t>1/1/2015</w:t>
      </w:r>
      <w:proofErr w:type="gramEnd"/>
      <w:r>
        <w:rPr>
          <w:sz w:val="18"/>
          <w:szCs w:val="18"/>
        </w:rPr>
        <w:t xml:space="preserve">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27/4/2010 tarihli ve 27564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ebilirler.</w:t>
      </w:r>
      <w:r>
        <w:rPr>
          <w:sz w:val="18"/>
          <w:szCs w:val="18"/>
        </w:rPr>
        <w:t>”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31/12/2014</w:t>
      </w:r>
      <w:proofErr w:type="gramEnd"/>
      <w:r>
        <w:rPr>
          <w:sz w:val="18"/>
          <w:szCs w:val="18"/>
        </w:rPr>
        <w:t xml:space="preserve"> tarihinden sonra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  <w:r>
        <w:rPr>
          <w:sz w:val="18"/>
          <w:szCs w:val="18"/>
        </w:rPr>
        <w:t>”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"TFRS 9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lar"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7.1.1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7.1.1 Bu TFRS, 1 Ocak 2015 veya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Erken uygulamaya izin verilmektedir.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erken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ancak </w:t>
      </w:r>
      <w:proofErr w:type="gramStart"/>
      <w:r>
        <w:rPr>
          <w:sz w:val="18"/>
          <w:szCs w:val="18"/>
        </w:rPr>
        <w:t>27/4/2010</w:t>
      </w:r>
      <w:proofErr w:type="gramEnd"/>
      <w:r>
        <w:rPr>
          <w:sz w:val="18"/>
          <w:szCs w:val="18"/>
        </w:rPr>
        <w:t xml:space="preserve"> tarihli ve 27564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uygulanmam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</w:t>
      </w:r>
      <w:proofErr w:type="spellEnd"/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 (ayr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z: 7.3.2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). 211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1 Ocak 2015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husus dipnotlarda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Standartlarda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ekinin 7.2.10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7.2.10 TMS 39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58</w:t>
      </w:r>
      <w:r>
        <w:rPr>
          <w:sz w:val="18"/>
          <w:szCs w:val="18"/>
        </w:rPr>
        <w:t>–</w:t>
      </w:r>
      <w:r>
        <w:rPr>
          <w:sz w:val="18"/>
          <w:szCs w:val="18"/>
        </w:rPr>
        <w:t>65 ve UR84-UR93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veya etkin faiz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nteminin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durumda (TMS 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ekliyle),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finansal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veya borcun sunulan her bir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sonundaki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itfa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maliyeti olarak kabul edilir. TMS 39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58</w:t>
      </w:r>
      <w:r>
        <w:rPr>
          <w:sz w:val="18"/>
          <w:szCs w:val="18"/>
        </w:rPr>
        <w:t>–</w:t>
      </w:r>
      <w:r>
        <w:rPr>
          <w:sz w:val="18"/>
          <w:szCs w:val="18"/>
        </w:rPr>
        <w:t>65 ve UR84-UR93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veya etkin faiz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nteminin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durumda (TMS 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ekliyle), finansal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veya borcun ilk uygulama tarihindeki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eri,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ilk uyguland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tarihteki yeni itfa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maliyeti olarak kabul edilir.</w:t>
      </w:r>
      <w:r>
        <w:rPr>
          <w:sz w:val="18"/>
          <w:szCs w:val="18"/>
        </w:rPr>
        <w:t>”</w:t>
      </w:r>
      <w:proofErr w:type="gramEnd"/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ekinin 7.2.14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7.2.14 7.2.1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mlerinin: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(a) 1 Ocak 2012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TFRS 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44S-44W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ildir.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1 Ocak 2012 tarihinde veya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1 Ocak 2013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TFRS 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44S-44W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 sunulur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1 Ocak 2013 tarihinde veya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TFRS 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44S-44W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 sunulur.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ildir.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ile ilk uygulama tarihinin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ndaki defter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farklar, ilk uygulama tarihinin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(veya uygun ise,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 unsurunun)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muhasebele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  <w:r>
        <w:rPr>
          <w:sz w:val="18"/>
          <w:szCs w:val="18"/>
        </w:rPr>
        <w:t>”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ekinin 7.3.2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7.3.2 Bu TFRS, 2010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yerini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1 Ocak 2015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 bu TFRS yerine 2010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tercih edilebilir.</w:t>
      </w:r>
      <w:r>
        <w:rPr>
          <w:sz w:val="18"/>
          <w:szCs w:val="18"/>
        </w:rPr>
        <w:t>”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girer. </w:t>
      </w:r>
    </w:p>
    <w:p w:rsidR="00B160C2" w:rsidRDefault="00B160C2" w:rsidP="00B160C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160C2" w:rsidRDefault="00B160C2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B160C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0D4C42"/>
    <w:rsid w:val="00284493"/>
    <w:rsid w:val="004F6407"/>
    <w:rsid w:val="00627628"/>
    <w:rsid w:val="0064009E"/>
    <w:rsid w:val="00693A16"/>
    <w:rsid w:val="007F4EC0"/>
    <w:rsid w:val="009A3577"/>
    <w:rsid w:val="00B160C2"/>
    <w:rsid w:val="00CB6F00"/>
    <w:rsid w:val="00D80099"/>
    <w:rsid w:val="00D8452F"/>
    <w:rsid w:val="00E22D86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4562</Characters>
  <Application>Microsoft Office Word</Application>
  <DocSecurity>0</DocSecurity>
  <Lines>38</Lines>
  <Paragraphs>10</Paragraphs>
  <ScaleCrop>false</ScaleCrop>
  <Company>TURMOB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</cp:revision>
  <dcterms:created xsi:type="dcterms:W3CDTF">2013-01-02T07:10:00Z</dcterms:created>
  <dcterms:modified xsi:type="dcterms:W3CDTF">2013-01-02T07:39:00Z</dcterms:modified>
</cp:coreProperties>
</file>