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00" w:rsidRDefault="00693A16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</w:t>
      </w:r>
      <w:proofErr w:type="spellStart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Mükkerer</w:t>
      </w:r>
      <w:proofErr w:type="spellEnd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2844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28513</w:t>
      </w:r>
      <w:r w:rsidR="00CB6F00">
        <w:rPr>
          <w:rStyle w:val="Normal1"/>
          <w:rFonts w:eastAsiaTheme="minorHAnsi"/>
          <w:b/>
          <w:sz w:val="18"/>
          <w:szCs w:val="18"/>
        </w:rPr>
        <w:tab/>
      </w:r>
    </w:p>
    <w:p w:rsidR="00155907" w:rsidRDefault="00155907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F637D">
        <w:rPr>
          <w:rFonts w:ascii="Times New Roman" w:eastAsia="ヒラギノ明朝 Pro W3" w:hAnsi="Times" w:cs="Times New Roman"/>
          <w:sz w:val="18"/>
          <w:szCs w:val="18"/>
          <w:u w:val="single"/>
        </w:rPr>
        <w:t>Enerji Piyasas</w:t>
      </w:r>
      <w:r w:rsidRPr="00FF637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D</w:t>
      </w:r>
      <w:r w:rsidRPr="00FF637D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  <w:u w:val="single"/>
        </w:rPr>
        <w:t>zenleme Kurumundan:</w:t>
      </w:r>
    </w:p>
    <w:p w:rsidR="00FF637D" w:rsidRPr="00FF637D" w:rsidRDefault="00FF637D" w:rsidP="00FF637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YEN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LENEB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R ENERJ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KAYNAKLARININ BELGELEND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VE</w:t>
      </w:r>
    </w:p>
    <w:p w:rsidR="00FF637D" w:rsidRPr="00FF637D" w:rsidRDefault="00FF637D" w:rsidP="00FF637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DESTEKLENMES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F637D" w:rsidRPr="00FF637D" w:rsidRDefault="00FF637D" w:rsidP="00FF637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YAPILMASINA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FF637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21/7/2011 tarihli ve 28001 say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proofErr w:type="gramStart"/>
      <w:r w:rsidRPr="00FF637D">
        <w:rPr>
          <w:rFonts w:ascii="Times New Roman" w:eastAsia="ヒラギノ明朝 Pro W3" w:hAnsi="Times" w:cs="Times New Roman"/>
          <w:sz w:val="18"/>
          <w:szCs w:val="18"/>
        </w:rPr>
        <w:t>Yenilenebilir</w:t>
      </w:r>
      <w:proofErr w:type="gram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Enerji Kaynaklar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 Belgelendirilmesi ve Desteklenmesine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yer alan (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) ve (v) tan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F637D">
        <w:rPr>
          <w:rFonts w:ascii="Times New Roman" w:eastAsia="ヒラギノ明朝 Pro W3" w:hAnsi="Times" w:cs="Times New Roman"/>
          <w:sz w:val="18"/>
          <w:szCs w:val="18"/>
        </w:rPr>
        <w:t>“ş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) YEK Destekleme Mekanizmas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(YEKDEM): Bu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ndaki yenilenebilir enerji kaynaklar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faaliyeti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lisans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sahibi 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ilerin bizzat ve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yenilenebilir enerji kaynaklar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yapan ki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ilerin 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lgelerinde bulunduklar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 arac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yla faydalanabilece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 fiyatlar, 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reler ve bunlara yap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demelere ili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eren destekleme mekanizmas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v) YEKDEM kat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YEKDEM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tabi olan her bir lisansl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tesisi veya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irketlerini,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b)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yenilenebilir enerji kaynaklar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ndan elektrik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retimi yapan ki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ilerin 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lgesinde bulunduklar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irketi arac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yla faydalanacaklar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YEK Kanununa ekli I ve II say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Cetveller uyar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nca belirlenecek fiyatlar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6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maddesinin ikinci ve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(2)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 almakla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irketleri, 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lgelerindeki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 31 Ekim tarihine kadar EK-2 ba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esi ile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YEKDEM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 olmak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 Kuruma ba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vurmak zorundad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YEKDEM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t olmak isteyen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lisans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sahipleri ile 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lgelerindeki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YEKDEM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vuru yapacak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 ba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esi ekinde bu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netmelikte ve 8 inci maddenin birinci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 al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nacak Kurul karar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ile belirlenecek ekleri sunar.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9 uncu maddesinin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(3)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yenilenebilir enerji kaynaklar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 elektrik enerjisi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ndaki ger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iler, tesislerinin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letmeye girdi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 tarihten itibaren 10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reyle, 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lgesinde bulunduklar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 arac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YEKDEM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den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yararlan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10 uncu maddesinin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(3)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 h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nca da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m sistemine verilecek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 ad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na, kaynak baz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nda, YEKDEM </w:t>
      </w:r>
      <w:proofErr w:type="gramStart"/>
      <w:r w:rsidRPr="00FF637D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proofErr w:type="gram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na DUY h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nca UEV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B ve saya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 11 inci maddesinin ikinci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(2)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 YEKDEM kat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 kendi da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 sistemleri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indeki OSB ve serbest 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lgelerde yerle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ik yenilenebilir enerji kaynaklar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ndan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retim yapan tesisler de </w:t>
      </w:r>
      <w:proofErr w:type="gramStart"/>
      <w:r w:rsidRPr="00FF637D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,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kin kaynak baz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saatlik tahminlerini kaynak baz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her bir UEV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B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 toplam olarak, her bir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nceki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 saat 09:00 itibariyle MYTM taraf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ndan belirlenecek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ekle uygun olarak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MYTM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bildirir.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en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YTOB tan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YTOB: Her bir fatura d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j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lgesindeki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retime ili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kin olarak hesaplanan ve 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lgesindeki ger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 ve/veya 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denecek toplam bedeli (TL),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in 19 uncu maddesinin ikinci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(2)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yenilenebilir enerji kaynaklar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ndan elektrik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retimi yapan ki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iler nam ve hesab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na YEKDEM kat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olan her bir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irketine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denecek YEK bedeli (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YEKBEDj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>) kendilerince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 ilgili h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 hesaplanm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olan ve 13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nca YEKTOB hesab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lan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YTOB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eridir.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20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maddesinin ikinci ve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lisans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sahibi her bir YEKDEM kat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denecek bedel PMUM taraf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ndan;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retime ili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denecek toplam bedel ise ilgili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 taraf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ndan 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Y ilgili h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nca hesaplan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lgili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ndan hesaplanan toplam bedelin </w:t>
      </w:r>
      <w:proofErr w:type="spellStart"/>
      <w:r w:rsidRPr="00FF637D">
        <w:rPr>
          <w:rFonts w:ascii="Times New Roman" w:eastAsia="ヒラギノ明朝 Pro W3" w:hAnsi="Times" w:cs="Times New Roman"/>
          <w:sz w:val="18"/>
          <w:szCs w:val="18"/>
        </w:rPr>
        <w:t>PMUM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PYS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zerinden bildirilmesini 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teakip PMUM 13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nca YEKTOB hesab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in 24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sz w:val="18"/>
          <w:szCs w:val="18"/>
        </w:rPr>
        <w:lastRenderedPageBreak/>
        <w:t>“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(4) G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revli perakende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irketleri sat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 ald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muafiyetli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ikili anla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malar ve/veya tarife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satamaz, ancak YEKDEM kapsam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erlendirir.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F637D" w:rsidRPr="00FF637D" w:rsidRDefault="00FF637D" w:rsidP="00FF6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mleri, </w:t>
      </w:r>
      <w:proofErr w:type="gramStart"/>
      <w:r w:rsidRPr="00FF637D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F637D" w:rsidRPr="00FF637D" w:rsidRDefault="00FF637D" w:rsidP="00FF637D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F63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mlerini Enerji Piyasas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zenleme Kurumu Ba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637D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FF637D" w:rsidRPr="00FF637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637D" w:rsidRPr="00FF637D" w:rsidRDefault="00FF637D" w:rsidP="00FF6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F637D" w:rsidRPr="00FF637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37D" w:rsidRPr="00FF637D" w:rsidRDefault="00FF637D" w:rsidP="00FF6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37D" w:rsidRPr="00FF637D" w:rsidRDefault="00FF637D" w:rsidP="00FF6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F637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FF637D" w:rsidRPr="00FF637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7D" w:rsidRPr="00FF637D" w:rsidRDefault="00FF637D" w:rsidP="00FF6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F637D">
              <w:rPr>
                <w:rFonts w:ascii="Times New Roman" w:eastAsia="ヒラギノ明朝 Pro W3" w:hAnsi="Times" w:cs="Times New Roman"/>
                <w:sz w:val="18"/>
                <w:szCs w:val="18"/>
              </w:rPr>
              <w:t>21/7/2011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7D" w:rsidRPr="00FF637D" w:rsidRDefault="00FF637D" w:rsidP="00FF6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F637D">
              <w:rPr>
                <w:rFonts w:ascii="Times New Roman" w:eastAsia="ヒラギノ明朝 Pro W3" w:hAnsi="Times" w:cs="Times New Roman"/>
                <w:sz w:val="18"/>
                <w:szCs w:val="18"/>
              </w:rPr>
              <w:t>28001</w:t>
            </w:r>
          </w:p>
        </w:tc>
      </w:tr>
    </w:tbl>
    <w:p w:rsidR="00FF637D" w:rsidRDefault="00FF637D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sectPr w:rsidR="00FF637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F63"/>
    <w:multiLevelType w:val="hybridMultilevel"/>
    <w:tmpl w:val="A664BD7A"/>
    <w:lvl w:ilvl="0" w:tplc="A2EE0F3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1BFC"/>
    <w:rsid w:val="000C2AC7"/>
    <w:rsid w:val="000D4C42"/>
    <w:rsid w:val="00155907"/>
    <w:rsid w:val="00284493"/>
    <w:rsid w:val="0046200A"/>
    <w:rsid w:val="00464F99"/>
    <w:rsid w:val="004F6407"/>
    <w:rsid w:val="00627628"/>
    <w:rsid w:val="0064009E"/>
    <w:rsid w:val="00693A16"/>
    <w:rsid w:val="007F4EC0"/>
    <w:rsid w:val="009A3577"/>
    <w:rsid w:val="00B160C2"/>
    <w:rsid w:val="00B4167C"/>
    <w:rsid w:val="00CB6F00"/>
    <w:rsid w:val="00CF3ACD"/>
    <w:rsid w:val="00D80099"/>
    <w:rsid w:val="00D8452F"/>
    <w:rsid w:val="00E22D86"/>
    <w:rsid w:val="00F310DC"/>
    <w:rsid w:val="00FF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693A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693A1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D8452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D845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D84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4442</Characters>
  <Application>Microsoft Office Word</Application>
  <DocSecurity>0</DocSecurity>
  <Lines>37</Lines>
  <Paragraphs>10</Paragraphs>
  <ScaleCrop>false</ScaleCrop>
  <Company>TURMOB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</cp:revision>
  <dcterms:created xsi:type="dcterms:W3CDTF">2013-01-02T07:10:00Z</dcterms:created>
  <dcterms:modified xsi:type="dcterms:W3CDTF">2013-01-02T07:42:00Z</dcterms:modified>
</cp:coreProperties>
</file>