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E75CA1" w:rsidRDefault="00E75CA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1C4A0C" w:rsidRDefault="001C4A0C" w:rsidP="001C4A0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C4A0C" w:rsidRDefault="001C4A0C" w:rsidP="001C4A0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4077 SAYILI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KORUNMASI HAKKINDA KANUNUN 22 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br/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SORUNLARI HAKEM HEYETLER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1C4A0C" w:rsidRDefault="001C4A0C" w:rsidP="001C4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 YER ALAN PARASAL SINIRLARIN</w:t>
      </w:r>
    </w:p>
    <w:p w:rsidR="001C4A0C" w:rsidRDefault="001C4A0C" w:rsidP="001C4A0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ARTTIRILMASINA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1C4A0C" w:rsidRDefault="001C4A0C" w:rsidP="001C4A0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TGM-2012/2)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23/2/1995</w:t>
      </w:r>
      <w:proofErr w:type="gramEnd"/>
      <w:r>
        <w:rPr>
          <w:sz w:val="18"/>
          <w:szCs w:val="18"/>
        </w:rPr>
        <w:t xml:space="preserve"> tarihli ve 4077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 belirlenen usule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bildirilen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Endeksinde meydana gelen ortalama % 2,57 (iki virg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 </w:t>
      </w:r>
      <w:proofErr w:type="spellStart"/>
      <w:r>
        <w:rPr>
          <w:sz w:val="18"/>
          <w:szCs w:val="18"/>
        </w:rPr>
        <w:t>elliyedi</w:t>
      </w:r>
      <w:proofErr w:type="spellEnd"/>
      <w:r>
        <w:rPr>
          <w:sz w:val="18"/>
          <w:szCs w:val="18"/>
        </w:rPr>
        <w:t>)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1/1/2013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zere: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4077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 heyetlerinin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 mahkemelerinde delil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alt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1.191,52 TL,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1/8/2003</w:t>
      </w:r>
      <w:proofErr w:type="gramEnd"/>
      <w:r>
        <w:rPr>
          <w:sz w:val="18"/>
          <w:szCs w:val="18"/>
        </w:rPr>
        <w:t xml:space="preserve"> tarihli ve 25186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ketici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 Heyetleri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5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bulunan illerde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il hakem heyetlerinin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bakmakla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ve yetkili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alt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3.110,58 TL,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C4A0C" w:rsidRDefault="001C4A0C" w:rsidP="001C4A0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C4A0C" w:rsidRDefault="001C4A0C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1C4A0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1C4A0C"/>
    <w:rsid w:val="002467DF"/>
    <w:rsid w:val="002758D1"/>
    <w:rsid w:val="00366F2D"/>
    <w:rsid w:val="00373E3A"/>
    <w:rsid w:val="003E4CE4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900579"/>
    <w:rsid w:val="00A602CE"/>
    <w:rsid w:val="00AF535B"/>
    <w:rsid w:val="00B44A28"/>
    <w:rsid w:val="00B9550B"/>
    <w:rsid w:val="00D14C6C"/>
    <w:rsid w:val="00D57066"/>
    <w:rsid w:val="00E320E8"/>
    <w:rsid w:val="00E75CA1"/>
    <w:rsid w:val="00E920CB"/>
    <w:rsid w:val="00EE240D"/>
    <w:rsid w:val="00F310DC"/>
    <w:rsid w:val="00F44392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Company>TURMOB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</cp:revision>
  <dcterms:created xsi:type="dcterms:W3CDTF">2013-01-02T07:10:00Z</dcterms:created>
  <dcterms:modified xsi:type="dcterms:W3CDTF">2013-01-02T08:05:00Z</dcterms:modified>
</cp:coreProperties>
</file>