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A6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5612FB" w:rsidRDefault="005612F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:rsidR="004342AB" w:rsidRPr="004342AB" w:rsidRDefault="004342AB" w:rsidP="004342A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4342AB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4342AB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4342AB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4342AB" w:rsidRPr="004342AB" w:rsidRDefault="004342AB" w:rsidP="004342A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342AB">
        <w:rPr>
          <w:rFonts w:ascii="Times New Roman" w:eastAsia="ヒラギノ明朝 Pro W3" w:hAnsi="Times" w:cs="Times New Roman"/>
          <w:b/>
          <w:sz w:val="18"/>
          <w:szCs w:val="18"/>
        </w:rPr>
        <w:t>VERG</w:t>
      </w:r>
      <w:r w:rsidRPr="004342A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342AB">
        <w:rPr>
          <w:rFonts w:ascii="Times New Roman" w:eastAsia="ヒラギノ明朝 Pro W3" w:hAnsi="Times" w:cs="Times New Roman"/>
          <w:b/>
          <w:sz w:val="18"/>
          <w:szCs w:val="18"/>
        </w:rPr>
        <w:t xml:space="preserve"> USUL KANUNU GENEL TEBL</w:t>
      </w:r>
      <w:r w:rsidRPr="004342AB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4342AB" w:rsidRPr="004342AB" w:rsidRDefault="004342AB" w:rsidP="004342AB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342AB">
        <w:rPr>
          <w:rFonts w:ascii="Times New Roman" w:eastAsia="ヒラギノ明朝 Pro W3" w:hAnsi="Times" w:cs="Times New Roman"/>
          <w:b/>
          <w:sz w:val="18"/>
          <w:szCs w:val="18"/>
        </w:rPr>
        <w:t>(SIRA NO: 422)</w:t>
      </w:r>
    </w:p>
    <w:p w:rsidR="004342AB" w:rsidRPr="004342AB" w:rsidRDefault="004342AB" w:rsidP="004342A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342AB">
        <w:rPr>
          <w:rFonts w:ascii="Times New Roman" w:eastAsia="ヒラギノ明朝 Pro W3" w:hAnsi="Times" w:cs="Times New Roman"/>
          <w:sz w:val="18"/>
          <w:szCs w:val="18"/>
        </w:rPr>
        <w:t>213 say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Vergi Usul Kanununun M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kerrer 414 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Bu Kanunda yer alan maktu hadler ile asgari ve azami miktarlar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belirtilmi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olan para ile 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denecek ceza miktarlar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, her y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l bir 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la ili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kin olarak bu Kanun uyar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nca belirlenen yeniden de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lmak suretiyle uygulan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ekilde hesaplanan maktu had ve miktarlar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zde 5 ini a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mayan kesirler dikkate al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nmaz. Bakanlar Kurulu, bu suretle tespit edilen had ve miktarlar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yar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na kadar art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rmaya veya indirmeye, nispi hadleri ise iki kat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na kadar art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rmaya veya yar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na kadar indirmeye veya tekrar kanuni seviyesine getirmeye yetkilidir.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yer almaktad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342AB" w:rsidRPr="004342AB" w:rsidRDefault="004342AB" w:rsidP="004342A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342AB">
        <w:rPr>
          <w:rFonts w:ascii="Times New Roman" w:eastAsia="ヒラギノ明朝 Pro W3" w:hAnsi="Times" w:cs="Times New Roman"/>
          <w:sz w:val="18"/>
          <w:szCs w:val="18"/>
        </w:rPr>
        <w:t>Bu h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proofErr w:type="spellStart"/>
      <w:r w:rsidRPr="004342AB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ne</w:t>
      </w:r>
      <w:proofErr w:type="spellEnd"/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narak, Vergi Usul Kanununun 104, M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kerrer 115, 177, 232, 252, 313, 343, 352 (Kanuna Ba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Cetvel), 353, 355 ve M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kerrer 355 inci maddelerinde yer al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p 2012 y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nda uygulanan miktarlar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 ve hadlerin, 2012 y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in %7,80 (yedi virg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l seksen) olarak tespit edilen yeniden de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suretiyle belirlenen ve </w:t>
      </w:r>
      <w:proofErr w:type="gramStart"/>
      <w:r w:rsidRPr="004342AB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tarihinden itibaren uygulanacak olan miktarlar ve hadler ekli listede g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sterilmi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342AB" w:rsidRPr="004342AB" w:rsidRDefault="004342AB" w:rsidP="004342A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342AB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342AB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4342AB" w:rsidRPr="004342AB" w:rsidRDefault="004342AB" w:rsidP="004342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4342AB" w:rsidRPr="004342AB" w:rsidRDefault="004342AB" w:rsidP="004342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342A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EK-1</w:t>
      </w:r>
    </w:p>
    <w:p w:rsidR="004342AB" w:rsidRPr="004342AB" w:rsidRDefault="004342AB" w:rsidP="00434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4342AB" w:rsidRPr="004342AB" w:rsidRDefault="004342AB" w:rsidP="00434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342A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VERGİ USUL KANUNUNDA YER ALAN VE 1/1/2013 TARİHİNDEN GEÇERLİ OLMAK </w:t>
      </w:r>
      <w:r w:rsidRPr="004342A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br/>
        <w:t xml:space="preserve">ÜZERE </w:t>
      </w:r>
      <w:proofErr w:type="gramStart"/>
      <w:r w:rsidRPr="004342A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UYGULANACAK  OLAN</w:t>
      </w:r>
      <w:proofErr w:type="gramEnd"/>
      <w:r w:rsidRPr="004342A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HAD VE MİKTARLAR</w:t>
      </w:r>
    </w:p>
    <w:p w:rsidR="004342AB" w:rsidRPr="004342AB" w:rsidRDefault="004342AB" w:rsidP="00434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51"/>
        <w:gridCol w:w="4902"/>
        <w:gridCol w:w="2252"/>
      </w:tblGrid>
      <w:tr w:rsidR="004342AB" w:rsidRPr="004342AB">
        <w:trPr>
          <w:jc w:val="center"/>
        </w:trPr>
        <w:tc>
          <w:tcPr>
            <w:tcW w:w="625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42AB" w:rsidRPr="004342AB" w:rsidRDefault="004342AB" w:rsidP="0043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MADDE NO – KONUSU</w:t>
            </w:r>
          </w:p>
        </w:tc>
        <w:tc>
          <w:tcPr>
            <w:tcW w:w="225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2013 Yılında</w:t>
            </w: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 xml:space="preserve"> Uygulanacak Miktar (TL)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 104-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İlanın şekli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 İlanın vergi dairesinde yapılması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1.800</w:t>
            </w: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 İlanın;</w:t>
            </w:r>
          </w:p>
          <w:p w:rsidR="004342AB" w:rsidRPr="004342AB" w:rsidRDefault="004342AB" w:rsidP="00434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- Vergi dairesinin bulunduğu yerde yayımlanan bir veya daha fazla gazetede yapılması</w:t>
            </w:r>
          </w:p>
          <w:p w:rsidR="004342AB" w:rsidRPr="004342AB" w:rsidRDefault="004342AB" w:rsidP="00434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- Türkiye genelinde yayımlanan gazetelerden birinde ayrıca yapılması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1.800-180.000</w:t>
            </w: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</w:t>
            </w: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180.000 ve üzeri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MÜKERRER </w:t>
            </w:r>
          </w:p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 115-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Tahakkuktan vazgeçme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 177-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Bilanço hesabı esasına göre defter tutma hadleri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 Yıllık;</w:t>
            </w:r>
          </w:p>
          <w:p w:rsidR="004342AB" w:rsidRPr="004342AB" w:rsidRDefault="004342AB" w:rsidP="004342A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- Alış tutarı</w:t>
            </w:r>
          </w:p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- Satış tutarı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150.000</w:t>
            </w: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200.000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2- Yıllık gayrisafi iş </w:t>
            </w:r>
            <w:proofErr w:type="gramStart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hasılatı</w:t>
            </w:r>
            <w:proofErr w:type="gramEnd"/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80.000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3- İş </w:t>
            </w:r>
            <w:proofErr w:type="gramStart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hasılatının</w:t>
            </w:r>
            <w:proofErr w:type="gramEnd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beş katı ile yıllık satış tutarının toplamı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150.000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MADDE 232- 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Fatura kullanma mecburiyeti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800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MADDE 252- 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Muhtarların karne tasdikinde aldığı harç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2,10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MADDE 313- 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Doğrudan gider yazılacak demirbaş ve </w:t>
            </w:r>
            <w:proofErr w:type="spellStart"/>
            <w:r w:rsidRPr="00434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peştemallıklar</w:t>
            </w:r>
            <w:proofErr w:type="spellEnd"/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800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MADDE 343- 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En az ceza haddi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</w:t>
            </w:r>
            <w:r w:rsidRPr="004342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 Damga vergisinde</w:t>
            </w:r>
          </w:p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</w:t>
            </w:r>
            <w:r w:rsidRPr="004342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 Diğer vergilerde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                         9,40 </w:t>
            </w: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19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MADDE 352-  </w:t>
            </w:r>
          </w:p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Usulsüzlük dereceleri ve cezaları </w:t>
            </w:r>
          </w:p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(Kanuna bağlı cetvel)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tr-TR"/>
              </w:rPr>
              <w:t>I inci derece usulsüzlükler</w:t>
            </w:r>
          </w:p>
          <w:p w:rsidR="004342AB" w:rsidRPr="004342AB" w:rsidRDefault="004342AB" w:rsidP="004342AB">
            <w:pPr>
              <w:tabs>
                <w:tab w:val="left" w:pos="1206"/>
              </w:tabs>
              <w:spacing w:after="0" w:line="240" w:lineRule="auto"/>
              <w:ind w:left="1490" w:hanging="149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1- Sermaye şirketleri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</w:t>
            </w: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110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ind w:left="1490" w:hanging="149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2- Sermaye şirketi dışında kalan birinci sınıf tüccarlar ve serbest </w:t>
            </w:r>
          </w:p>
          <w:p w:rsidR="004342AB" w:rsidRPr="004342AB" w:rsidRDefault="004342AB" w:rsidP="004342AB">
            <w:pPr>
              <w:spacing w:after="0" w:line="240" w:lineRule="auto"/>
              <w:ind w:left="1490" w:hanging="149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</w:t>
            </w:r>
            <w:proofErr w:type="gramStart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</w:t>
            </w:r>
            <w:proofErr w:type="gramEnd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erbabı                                                                          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3 - İkinci sınıf tüccarlar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35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4- Yukarıdakiler dışında kalıp beyanname usulüyle gelir vergisine tabi olanlar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17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5- Kazancı basit usulde tespit edilenler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9,40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 Gelir vergisinden muaf esnaf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4,30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tr-TR"/>
              </w:rPr>
              <w:t xml:space="preserve">II </w:t>
            </w:r>
            <w:proofErr w:type="spellStart"/>
            <w:r w:rsidRPr="004342A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tr-TR"/>
              </w:rPr>
              <w:t>nci</w:t>
            </w:r>
            <w:proofErr w:type="spellEnd"/>
            <w:r w:rsidRPr="004342A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tr-TR"/>
              </w:rPr>
              <w:t xml:space="preserve"> derece usulsüzlükler</w:t>
            </w:r>
            <w:r w:rsidRPr="004342A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  <w:t xml:space="preserve"> </w:t>
            </w:r>
          </w:p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1- Sermaye şirketleri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2- Sermaye şirketi dışında kalan birinci sınıf tüccarlar ve serbest meslek erbabı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35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3 - İkinci sınıf tüccarlar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17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4- Yukarıdakiler dışında kalıp beyanname usulüyle gelir vergisine tabi olanlar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9,40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5- Kazancı basit usulde tespit edilenler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4,30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tabs>
                <w:tab w:val="left" w:pos="1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6- Gelir vergisinden muaf esnaf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2,40</w:t>
            </w:r>
          </w:p>
        </w:tc>
      </w:tr>
      <w:tr w:rsidR="004342AB" w:rsidRPr="004342AB">
        <w:trPr>
          <w:jc w:val="center"/>
        </w:trPr>
        <w:tc>
          <w:tcPr>
            <w:tcW w:w="6253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MADDE NO – KONUSU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2013 Yılında</w:t>
            </w: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Uygulanacak Miktar(TL)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 353-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ind w:left="1348" w:hanging="134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Fatura ve benzeri evrak verilmemesi ve alınmaması ile diğer </w:t>
            </w:r>
          </w:p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şekil</w:t>
            </w:r>
            <w:proofErr w:type="gramEnd"/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ve usul hükümlerine uyulmaması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tabs>
                <w:tab w:val="left" w:pos="923"/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 Fatura, gider pusulası, müstahsil makbuzu,  serbest meslek makbuzu verilmemesi, alınmaması</w:t>
            </w:r>
          </w:p>
          <w:p w:rsidR="004342AB" w:rsidRPr="004342AB" w:rsidRDefault="004342AB" w:rsidP="004342AB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Bir takvim yılı içinde her bir belge nevine ilişkin olarak kesilecek toplam ceza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                                                    190</w:t>
            </w: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94.000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tabs>
                <w:tab w:val="left" w:pos="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-</w:t>
            </w: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Perakende satış fişi, ödeme kaydedici cihaz fişi,   giriş ve </w:t>
            </w:r>
            <w:proofErr w:type="gramStart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yolcu  taşıma</w:t>
            </w:r>
            <w:proofErr w:type="gramEnd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bileti, sevk irsaliyesi, taşıma  irsaliyesi, yolcu listesi, günlük müşteri listesi ile Maliye Bakanlığınca düzenleme zorunluluğu getirilen belgelerin düzenlenmemesi, kullanılmaması veya bulundurulmaması</w:t>
            </w:r>
          </w:p>
          <w:p w:rsidR="004342AB" w:rsidRPr="004342AB" w:rsidRDefault="004342AB" w:rsidP="004342AB">
            <w:pPr>
              <w:tabs>
                <w:tab w:val="left" w:pos="1206"/>
                <w:tab w:val="left" w:pos="1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Her bir belge </w:t>
            </w:r>
            <w:proofErr w:type="spellStart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nev’ine</w:t>
            </w:r>
            <w:proofErr w:type="spellEnd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ilişkin olarak her bir tespit </w:t>
            </w:r>
            <w:proofErr w:type="gramStart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için  toplam</w:t>
            </w:r>
            <w:proofErr w:type="gramEnd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ceza </w:t>
            </w:r>
          </w:p>
          <w:p w:rsidR="004342AB" w:rsidRPr="004342AB" w:rsidRDefault="004342AB" w:rsidP="004342AB">
            <w:pPr>
              <w:tabs>
                <w:tab w:val="left" w:pos="16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Her bir belge </w:t>
            </w:r>
            <w:proofErr w:type="spellStart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nev’ine</w:t>
            </w:r>
            <w:proofErr w:type="spellEnd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ilişkin bir takvim yılı içinde kesilecek toplam ceza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42AB" w:rsidRPr="004342AB" w:rsidRDefault="004342AB" w:rsidP="004342AB">
            <w:pPr>
              <w:tabs>
                <w:tab w:val="left" w:pos="1062"/>
                <w:tab w:val="left" w:pos="128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190</w:t>
            </w:r>
          </w:p>
          <w:p w:rsidR="004342AB" w:rsidRPr="004342AB" w:rsidRDefault="004342AB" w:rsidP="004342AB">
            <w:pPr>
              <w:tabs>
                <w:tab w:val="left" w:pos="1122"/>
                <w:tab w:val="left" w:pos="13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tabs>
                <w:tab w:val="left" w:pos="1122"/>
                <w:tab w:val="left" w:pos="13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tabs>
                <w:tab w:val="left" w:pos="1122"/>
                <w:tab w:val="left" w:pos="13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tabs>
                <w:tab w:val="left" w:pos="1122"/>
                <w:tab w:val="left" w:pos="133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tabs>
                <w:tab w:val="left" w:pos="1122"/>
                <w:tab w:val="left" w:pos="133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tabs>
                <w:tab w:val="left" w:pos="1122"/>
                <w:tab w:val="left" w:pos="133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9.400</w:t>
            </w:r>
          </w:p>
          <w:p w:rsidR="004342AB" w:rsidRPr="004342AB" w:rsidRDefault="004342AB" w:rsidP="004342AB">
            <w:pPr>
              <w:tabs>
                <w:tab w:val="left" w:pos="19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tabs>
                <w:tab w:val="left" w:pos="19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94.000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tabs>
                <w:tab w:val="left" w:pos="1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 Maliye Bakanlığınca tutulma ve günü gününe kayıt edilme mecburiyeti getirilen defterlerin; bulundurulmaması, günü gününe kayıt yapılmaması, yetkililere ibraz edilmemesi ile levha bulundurma ve asma mecburiyetine uyulmaması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190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tabs>
                <w:tab w:val="left" w:pos="781"/>
                <w:tab w:val="left" w:pos="923"/>
                <w:tab w:val="left" w:pos="149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6- Belirlenen muhasebe standartlarına, tek </w:t>
            </w:r>
            <w:proofErr w:type="gramStart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düzen  hesap</w:t>
            </w:r>
            <w:proofErr w:type="gramEnd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planına ve mali tablolara ilişkin usul ve esaslar ile muhasebeye yönelik  bilgisayar programlarının üretilmesine ilişkin kural ve standartlara uymayanlara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4.300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tabs>
                <w:tab w:val="left" w:pos="1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7- Kamu kurum ve kuruluşları ile gerçek ve </w:t>
            </w:r>
            <w:proofErr w:type="gramStart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tüzel  kişilerce</w:t>
            </w:r>
            <w:proofErr w:type="gramEnd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yapılacak işlemlerde kullanılma zorunluluğu getirilen vergi numarasını kullanmaksızın işlem yapanlara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230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 Belge basımı ile ilgili bildirim görevini tamamen veya kısmen yerine getirmeyen matbaa işletmecilerine</w:t>
            </w:r>
          </w:p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Bu bent uyarınca bir takvim yılı içinde kesilecek toplam özel usulsüzlük cezası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700</w:t>
            </w: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140.000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tabs>
                <w:tab w:val="left" w:pos="1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-</w:t>
            </w: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4358 sayılı Kanun uyarınca vergi kimlik numarası kullanma zorunluluğu getirilen kuruluşlardan yaptıkları işlemlere ilişkin bildirimleri, belirlenen standartlarda ve zamanda yerine getirmeyenlere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940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tabs>
                <w:tab w:val="left" w:pos="1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10-127 </w:t>
            </w:r>
            <w:proofErr w:type="spellStart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nci</w:t>
            </w:r>
            <w:proofErr w:type="spellEnd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maddenin (d) bendi uyarınca Maliye Bakanlığının özel işaretli görevlisinin ikazına rağmen durmayan aracın sahibi adına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700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 355-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b) Damga Vergisinde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ind w:left="2340" w:hanging="234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- Her bir </w:t>
            </w:r>
            <w:proofErr w:type="gramStart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kağıt</w:t>
            </w:r>
            <w:proofErr w:type="gramEnd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için kesilecek özel usulsüzlük cezası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1,60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MÜKERRER MADDE 355-  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ind w:left="2340" w:hanging="23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Bilgi vermekten çekinenler ile 256, 257 ve mükerrer 257 </w:t>
            </w:r>
            <w:proofErr w:type="spellStart"/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nci</w:t>
            </w:r>
            <w:proofErr w:type="spellEnd"/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</w:t>
            </w:r>
          </w:p>
          <w:p w:rsidR="004342AB" w:rsidRPr="004342AB" w:rsidRDefault="004342AB" w:rsidP="004342AB">
            <w:pPr>
              <w:spacing w:after="0" w:line="240" w:lineRule="auto"/>
              <w:ind w:left="2340" w:hanging="234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</w:t>
            </w:r>
            <w:proofErr w:type="gramEnd"/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hükmüne uymayanlar için ceza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1-Birinci sınıf tüccarlar ile serbest meslek erbabı hakkında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1.200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2-İkinci sınıf tüccarlar, defter tutan çiftçiler ile kazancı basit usulde tespit edilenler hakkında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600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3-Yukarıdaki bentlerde yazılı bulunanlar dışında kalanlar hakkında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300</w:t>
            </w:r>
          </w:p>
        </w:tc>
      </w:tr>
      <w:tr w:rsidR="004342AB" w:rsidRPr="004342AB">
        <w:trPr>
          <w:jc w:val="center"/>
        </w:trPr>
        <w:tc>
          <w:tcPr>
            <w:tcW w:w="13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4342AB" w:rsidRPr="004342AB" w:rsidRDefault="004342AB" w:rsidP="0043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2AB" w:rsidRPr="004342AB" w:rsidRDefault="004342AB" w:rsidP="00434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Tahsilat</w:t>
            </w:r>
            <w:proofErr w:type="gramEnd"/>
            <w:r w:rsidRPr="004342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ödemelerini banka, benzeri finans kurumları veya posta idarelerince düzenlenen belgelerle tevsik etme zorunluluğuna uymayanlara bir takvim yılı içinde kesilecek toplam özel usulsüzlük cezası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42AB" w:rsidRPr="004342AB" w:rsidRDefault="004342AB" w:rsidP="0043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42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940.000</w:t>
            </w:r>
          </w:p>
        </w:tc>
      </w:tr>
    </w:tbl>
    <w:p w:rsidR="004342AB" w:rsidRPr="004342AB" w:rsidRDefault="004342AB" w:rsidP="004342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4342AB" w:rsidRDefault="004342A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4342A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30F9"/>
    <w:rsid w:val="000C44E4"/>
    <w:rsid w:val="00366F2D"/>
    <w:rsid w:val="00373E3A"/>
    <w:rsid w:val="0043191A"/>
    <w:rsid w:val="004342AB"/>
    <w:rsid w:val="00440672"/>
    <w:rsid w:val="005612FB"/>
    <w:rsid w:val="005D212A"/>
    <w:rsid w:val="00627628"/>
    <w:rsid w:val="007F4EC0"/>
    <w:rsid w:val="00A602CE"/>
    <w:rsid w:val="00B44A28"/>
    <w:rsid w:val="00E320E8"/>
    <w:rsid w:val="00E920CB"/>
    <w:rsid w:val="00F310DC"/>
    <w:rsid w:val="00F6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342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342AB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878</Words>
  <Characters>5011</Characters>
  <Application>Microsoft Office Word</Application>
  <DocSecurity>0</DocSecurity>
  <Lines>41</Lines>
  <Paragraphs>11</Paragraphs>
  <ScaleCrop>false</ScaleCrop>
  <Company>TURMOB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</cp:revision>
  <dcterms:created xsi:type="dcterms:W3CDTF">2013-01-02T07:10:00Z</dcterms:created>
  <dcterms:modified xsi:type="dcterms:W3CDTF">2013-01-02T07:55:00Z</dcterms:modified>
</cp:coreProperties>
</file>