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5612FB" w:rsidRDefault="005612F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F5CCB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FF5CCB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FF5CC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FF5CCB" w:rsidRPr="00FF5CCB" w:rsidRDefault="00FF5CCB" w:rsidP="00FF5CC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caps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b/>
          <w:caps/>
          <w:sz w:val="18"/>
          <w:szCs w:val="18"/>
        </w:rPr>
        <w:t xml:space="preserve">Veraset ve </w:t>
      </w:r>
      <w:r w:rsidRPr="00FF5CCB">
        <w:rPr>
          <w:rFonts w:ascii="Times New Roman" w:eastAsia="ヒラギノ明朝 Pro W3" w:hAnsi="Times" w:cs="Times New Roman"/>
          <w:b/>
          <w:caps/>
          <w:sz w:val="18"/>
          <w:szCs w:val="18"/>
        </w:rPr>
        <w:t>İ</w:t>
      </w:r>
      <w:r w:rsidRPr="00FF5CCB">
        <w:rPr>
          <w:rFonts w:ascii="Times New Roman" w:eastAsia="ヒラギノ明朝 Pro W3" w:hAnsi="Times" w:cs="Times New Roman"/>
          <w:b/>
          <w:caps/>
          <w:sz w:val="18"/>
          <w:szCs w:val="18"/>
        </w:rPr>
        <w:t>ntikal Vergisi Kanunu Genel Tebli</w:t>
      </w:r>
      <w:r w:rsidRPr="00FF5CCB">
        <w:rPr>
          <w:rFonts w:ascii="Times New Roman" w:eastAsia="ヒラギノ明朝 Pro W3" w:hAnsi="Times" w:cs="Times New Roman"/>
          <w:b/>
          <w:caps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b/>
          <w:caps/>
          <w:sz w:val="18"/>
          <w:szCs w:val="18"/>
        </w:rPr>
        <w:t>i</w:t>
      </w:r>
    </w:p>
    <w:p w:rsidR="00FF5CCB" w:rsidRPr="00FF5CCB" w:rsidRDefault="00FF5CCB" w:rsidP="00FF5CCB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b/>
          <w:caps/>
          <w:sz w:val="18"/>
          <w:szCs w:val="18"/>
        </w:rPr>
        <w:t>(Seri No: 44)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F5CCB">
        <w:rPr>
          <w:rFonts w:ascii="Times New Roman" w:eastAsia="ヒラギノ明朝 Pro W3" w:hAnsi="Times" w:cs="Times New Roman"/>
          <w:sz w:val="18"/>
          <w:szCs w:val="18"/>
        </w:rPr>
        <w:t>7338 say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Veraset ve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ntikal Vergisi Kanununun</w:t>
      </w:r>
      <w:r w:rsidRPr="00FF5CC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(1)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istisnalar ba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4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(b), (d) ve (e) bentlerine g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re, her bir takvim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nda uygulanacak istisna hadleri,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lda uygulanan istisna hadlerine bu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kin olarak Vergi Usul Kanunu</w:t>
      </w:r>
      <w:r w:rsidRPr="00FF5CC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(2)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nca belirlenen yeniden de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lmak suretiyle tespit olunur. </w:t>
      </w:r>
      <w:proofErr w:type="gramEnd"/>
      <w:r w:rsidRPr="00FF5CC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 1 milyon liraya kadar olan tutarlar dikkate al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ne yer verilmi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Kanunun 16 </w:t>
      </w:r>
      <w:proofErr w:type="spellStart"/>
      <w:r w:rsidRPr="00FF5CC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Vergi tarifesinin matrah dilim tutarlar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, her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l bir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kin olarak Vergi Usul Kanunu uyar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nca belirlenen yeniden de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lmak suretiyle uygulan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ekilde hesaplanan dilim tutarlar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zde 5 ini a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mayan kesirler dikkate al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nmaz.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…”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denilmektedir.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zca 2012 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in yeniden de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% 7,80 (yedi virg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 seksen) olarak tespit edilmi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ve 419 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proofErr w:type="spellStart"/>
      <w:r w:rsidRPr="00FF5CCB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Vergi Usul Kanunu Genel Tebli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F5CC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(3)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ile ilan edilmi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bulunmaktad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re, </w:t>
      </w:r>
      <w:proofErr w:type="gramStart"/>
      <w:r w:rsidRPr="00FF5CCB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tarihinden itibaren 7338 say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 (b), (d) ve (e) bentlerinde yer alan istisna tutarlar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-Evlatl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klar d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hil, </w:t>
      </w:r>
      <w:proofErr w:type="spellStart"/>
      <w:r w:rsidRPr="00FF5CC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ru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proofErr w:type="spell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ten her birine isabet eden miras hisselerinde 140.774 TL (</w:t>
      </w:r>
      <w:proofErr w:type="spellStart"/>
      <w:r w:rsidRPr="00FF5CCB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ru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proofErr w:type="spell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halinde e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 isabet eden miras hissesinde 281.720 TL),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vazs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 suretle meydana gelen intikallerde 3.244 TL,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-Para ve mal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zerine d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zenlenen yar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ler ile </w:t>
      </w:r>
      <w:proofErr w:type="gramStart"/>
      <w:r w:rsidRPr="00FF5CCB">
        <w:rPr>
          <w:rFonts w:ascii="Times New Roman" w:eastAsia="ヒラギノ明朝 Pro W3" w:hAnsi="Times" w:cs="Times New Roman"/>
          <w:sz w:val="18"/>
          <w:szCs w:val="18"/>
        </w:rPr>
        <w:t>14/3/2007</w:t>
      </w:r>
      <w:proofErr w:type="gram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tarihli ve 5602 say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ans Oyunlar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Has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nan Vergi, Fon ve Paylar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 Kanunda tan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ans oyunlar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 kazan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lan ikramiyelerde 3.244 TL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F5CCB">
        <w:rPr>
          <w:rFonts w:ascii="Times New Roman" w:eastAsia="ヒラギノ明朝 Pro W3" w:hAnsi="Times" w:cs="Times New Roman"/>
          <w:sz w:val="18"/>
          <w:szCs w:val="18"/>
        </w:rPr>
        <w:t>olarak</w:t>
      </w:r>
      <w:proofErr w:type="gram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F5CCB" w:rsidRPr="00FF5CCB" w:rsidRDefault="00FF5CCB" w:rsidP="00FF5CCB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7338 say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Kanunun 16 </w:t>
      </w:r>
      <w:proofErr w:type="spellStart"/>
      <w:r w:rsidRPr="00FF5CC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maddesinde yer alan vergi tarifesi matrah dilim tutarlar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da belirtilen yeniden de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lmak suretiyle tespit edilmi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tir. Bu nedenle, </w:t>
      </w:r>
      <w:proofErr w:type="gramStart"/>
      <w:r w:rsidRPr="00FF5CCB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tarihinden itibaren veraset yoluyla veya ivazs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z surette meydana gelen intikallerde veraset ve intikal vergisi a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daki tarifeye g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re hesaplanacakt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F5CCB" w:rsidRPr="00FF5CCB" w:rsidRDefault="00FF5CCB" w:rsidP="00FF5CCB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5"/>
        <w:gridCol w:w="2009"/>
        <w:gridCol w:w="1661"/>
      </w:tblGrid>
      <w:tr w:rsidR="00FF5CCB" w:rsidRPr="00FF5CCB">
        <w:trPr>
          <w:trHeight w:val="20"/>
          <w:jc w:val="center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CB" w:rsidRPr="00FF5CCB" w:rsidRDefault="00FF5CCB" w:rsidP="00FF5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Matrah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Verginin Oranı (%)</w:t>
            </w:r>
          </w:p>
        </w:tc>
      </w:tr>
      <w:tr w:rsidR="00FF5CCB" w:rsidRPr="00FF5CC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CCB" w:rsidRPr="00FF5CCB" w:rsidRDefault="00FF5CCB" w:rsidP="00FF5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Veraset Yoluyla İntikallerde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İvazsız İntikallerde</w:t>
            </w:r>
          </w:p>
        </w:tc>
      </w:tr>
      <w:tr w:rsidR="00FF5CCB" w:rsidRPr="00FF5CCB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İlk                            190.000 TL için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</w:tr>
      <w:tr w:rsidR="00FF5CCB" w:rsidRPr="00FF5CCB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Sonra gelen              430.000 TL için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</w:t>
            </w:r>
          </w:p>
        </w:tc>
      </w:tr>
      <w:tr w:rsidR="00FF5CCB" w:rsidRPr="00FF5CCB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Sonra gelen              940.000 TL için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</w:tr>
      <w:tr w:rsidR="00FF5CCB" w:rsidRPr="00FF5CCB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Sonra </w:t>
            </w:r>
            <w:proofErr w:type="gramStart"/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gelen            1</w:t>
            </w:r>
            <w:proofErr w:type="gramEnd"/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.800.000 TL için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</w:tr>
      <w:tr w:rsidR="00FF5CCB" w:rsidRPr="00FF5CCB">
        <w:trPr>
          <w:trHeight w:val="2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Matrahın               3.360.000 TL’yi aşan bölümü için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CB" w:rsidRPr="00FF5CCB" w:rsidRDefault="00FF5CCB" w:rsidP="00FF5CCB">
            <w:pPr>
              <w:spacing w:after="0" w:line="20" w:lineRule="atLeast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F5CC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</w:tr>
    </w:tbl>
    <w:p w:rsidR="00FF5CCB" w:rsidRPr="00FF5CCB" w:rsidRDefault="00FF5CCB" w:rsidP="00FF5CC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FF5CCB" w:rsidRPr="00FF5CCB" w:rsidRDefault="00FF5CCB" w:rsidP="00FF5CC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F5CCB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F5CCB">
        <w:rPr>
          <w:rFonts w:ascii="Times New Roman" w:eastAsia="ヒラギノ明朝 Pro W3" w:hAnsi="Times" w:cs="Times New Roman"/>
          <w:sz w:val="18"/>
          <w:szCs w:val="18"/>
        </w:rPr>
        <w:t>——————————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FF5CCB">
        <w:rPr>
          <w:rFonts w:ascii="Times New Roman" w:eastAsia="ヒラギノ明朝 Pro W3" w:hAnsi="Times New Roman" w:cs="Times New Roman"/>
          <w:sz w:val="18"/>
          <w:szCs w:val="18"/>
        </w:rPr>
        <w:t>1  15</w:t>
      </w:r>
      <w:proofErr w:type="gramEnd"/>
      <w:r w:rsidRPr="00FF5CCB">
        <w:rPr>
          <w:rFonts w:ascii="Times New Roman" w:eastAsia="ヒラギノ明朝 Pro W3" w:hAnsi="Times New Roman" w:cs="Times New Roman"/>
          <w:sz w:val="18"/>
          <w:szCs w:val="18"/>
        </w:rPr>
        <w:t>/6/1959 tarihli ve 10231 sayılı Resmî Gazete’de yayımlanmıştır.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FF5CCB">
        <w:rPr>
          <w:rFonts w:ascii="Times New Roman" w:eastAsia="ヒラギノ明朝 Pro W3" w:hAnsi="Times New Roman" w:cs="Times New Roman"/>
          <w:sz w:val="18"/>
          <w:szCs w:val="18"/>
        </w:rPr>
        <w:t>2  10</w:t>
      </w:r>
      <w:proofErr w:type="gramEnd"/>
      <w:r w:rsidRPr="00FF5CCB">
        <w:rPr>
          <w:rFonts w:ascii="Times New Roman" w:eastAsia="ヒラギノ明朝 Pro W3" w:hAnsi="Times New Roman" w:cs="Times New Roman"/>
          <w:sz w:val="18"/>
          <w:szCs w:val="18"/>
        </w:rPr>
        <w:t>/1/1961 tarihli ve 10703 sayılı Resmî Gazete’de yayımlanmıştır.</w:t>
      </w:r>
    </w:p>
    <w:p w:rsidR="00FF5CCB" w:rsidRPr="00FF5CCB" w:rsidRDefault="00FF5CCB" w:rsidP="00FF5CC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F5CCB">
        <w:rPr>
          <w:rFonts w:ascii="Times New Roman" w:eastAsia="ヒラギノ明朝 Pro W3" w:hAnsi="Times New Roman" w:cs="Times New Roman"/>
          <w:sz w:val="18"/>
          <w:szCs w:val="18"/>
        </w:rPr>
        <w:t>3  10</w:t>
      </w:r>
      <w:proofErr w:type="gramEnd"/>
      <w:r w:rsidRPr="00FF5CCB">
        <w:rPr>
          <w:rFonts w:ascii="Times New Roman" w:eastAsia="ヒラギノ明朝 Pro W3" w:hAnsi="Times New Roman" w:cs="Times New Roman"/>
          <w:sz w:val="18"/>
          <w:szCs w:val="18"/>
        </w:rPr>
        <w:t>/11/2012 tarihli ve 28463 sayılı Resmî Gazete’de yayımlanmıştır.</w:t>
      </w:r>
    </w:p>
    <w:p w:rsidR="00FF5CCB" w:rsidRDefault="00FF5C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FF5CC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366F2D"/>
    <w:rsid w:val="00373E3A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F4EC0"/>
    <w:rsid w:val="00A602CE"/>
    <w:rsid w:val="00B44A28"/>
    <w:rsid w:val="00E320E8"/>
    <w:rsid w:val="00E920CB"/>
    <w:rsid w:val="00F310DC"/>
    <w:rsid w:val="00F655D4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401</Words>
  <Characters>2290</Characters>
  <Application>Microsoft Office Word</Application>
  <DocSecurity>0</DocSecurity>
  <Lines>19</Lines>
  <Paragraphs>5</Paragraphs>
  <ScaleCrop>false</ScaleCrop>
  <Company>TURMOB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</cp:revision>
  <dcterms:created xsi:type="dcterms:W3CDTF">2013-01-02T07:10:00Z</dcterms:created>
  <dcterms:modified xsi:type="dcterms:W3CDTF">2013-01-02T07:58:00Z</dcterms:modified>
</cp:coreProperties>
</file>