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28524</w:t>
      </w:r>
      <w:proofErr w:type="gramEnd"/>
    </w:p>
    <w:p w:rsidR="006E556D" w:rsidRDefault="006E556D" w:rsidP="006E556D">
      <w:pPr>
        <w:pStyle w:val="1-Baslk"/>
        <w:spacing w:line="240" w:lineRule="exact"/>
        <w:ind w:firstLine="566"/>
        <w:rPr>
          <w:rFonts w:hAnsi="Times New Roman"/>
          <w:sz w:val="18"/>
          <w:szCs w:val="18"/>
        </w:rPr>
      </w:pPr>
      <w:r>
        <w:rPr>
          <w:rFonts w:hAnsi="Times New Roman"/>
          <w:sz w:val="18"/>
          <w:szCs w:val="18"/>
        </w:rPr>
        <w:t>Sosyal Güvenlik Kurumu Başkanlığından:</w:t>
      </w:r>
    </w:p>
    <w:p w:rsidR="006E556D" w:rsidRDefault="006E556D" w:rsidP="006E556D">
      <w:pPr>
        <w:pStyle w:val="1-Baslk"/>
        <w:spacing w:line="240" w:lineRule="exact"/>
        <w:ind w:firstLine="566"/>
        <w:rPr>
          <w:rFonts w:hAnsi="Times New Roman"/>
          <w:sz w:val="18"/>
          <w:szCs w:val="18"/>
        </w:rPr>
      </w:pPr>
    </w:p>
    <w:p w:rsidR="006E556D" w:rsidRDefault="006E556D" w:rsidP="006E556D">
      <w:pPr>
        <w:pStyle w:val="2-OrtaBaslk"/>
        <w:spacing w:line="240" w:lineRule="exact"/>
        <w:rPr>
          <w:rFonts w:hAnsi="Times New Roman"/>
          <w:sz w:val="18"/>
          <w:szCs w:val="18"/>
        </w:rPr>
      </w:pPr>
      <w:r>
        <w:rPr>
          <w:rFonts w:hAnsi="Times New Roman"/>
          <w:sz w:val="18"/>
          <w:szCs w:val="18"/>
        </w:rPr>
        <w:t>SOSYAL GÜVENLİK KURUMU SAĞLIK UYGULAMA TEBLİĞİNDE</w:t>
      </w:r>
    </w:p>
    <w:p w:rsidR="006E556D" w:rsidRDefault="006E556D" w:rsidP="006E556D">
      <w:pPr>
        <w:pStyle w:val="2-OrtaBaslk"/>
        <w:spacing w:line="240" w:lineRule="exact"/>
        <w:rPr>
          <w:rFonts w:hAnsi="Times New Roman"/>
          <w:sz w:val="18"/>
          <w:szCs w:val="18"/>
        </w:rPr>
      </w:pPr>
      <w:r>
        <w:rPr>
          <w:rFonts w:hAnsi="Times New Roman"/>
          <w:sz w:val="18"/>
          <w:szCs w:val="18"/>
        </w:rPr>
        <w:t>DEĞİŞİKLİK YAPILMASINA DAİR TEBLİĞ</w:t>
      </w:r>
    </w:p>
    <w:p w:rsidR="006E556D" w:rsidRDefault="006E556D" w:rsidP="006E556D">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25/3/2010</w:t>
      </w:r>
      <w:proofErr w:type="gramEnd"/>
      <w:r>
        <w:rPr>
          <w:rFonts w:hAnsi="Times New Roman"/>
          <w:sz w:val="18"/>
          <w:szCs w:val="18"/>
        </w:rPr>
        <w:t xml:space="preserve"> tarihli ve 27532 mükerrer sayılı Resmî Gazete’de yayımlanan Sosyal Güvenlik Kurumu Sağlık Uygulama Tebliğinin 6.1.4 numaralı maddesinde aşağıdaki değişiklikler yapılmıştır.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Beşinci fıkrasının (b) bendi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Yanıklar, anemiler, sistemik olmayan mantar </w:t>
      </w:r>
      <w:proofErr w:type="gramStart"/>
      <w:r>
        <w:rPr>
          <w:rFonts w:hAnsi="Times New Roman"/>
          <w:sz w:val="18"/>
          <w:szCs w:val="18"/>
        </w:rPr>
        <w:t>enfeksiyonları</w:t>
      </w:r>
      <w:proofErr w:type="gramEnd"/>
      <w:r>
        <w:rPr>
          <w:rFonts w:hAnsi="Times New Roman"/>
          <w:sz w:val="18"/>
          <w:szCs w:val="18"/>
        </w:rPr>
        <w:t>, reflü ve GIS ülserlerinde kullanılan ilaçlar; yalnız dermatoloji uzman hekimlerince reçete edilebilen oral retinoidler, taburcu edilen hastaların idame tedavisi için düzenlenen reçetelere yazılan ilaçlar, en fazla 28 günlük dozda, (SUT’ta yer alan özel düzenlemeler saklı kalmak kaydıyla)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Sekizinci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“(8) Hastanın tedavisinde ilk defa reçete edilecek ilaçlar (raporlu olsa dahi) en fazla 28 günlük doza kadar ödenir. Sonraki reçetelerde yazılacak ilaç miktarı için tebliğde yer alan genel veya özel düzenlemeler esas alınır. Bu ilaçların devam reçetelerindeki farklı farmasötik dozları da ilk tedavi olarak kabul edilir.”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Tebliğin 6.1.5 numaralı maddesine aşağıdaki dokuzuncu fıkra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“(9) Yeniden e-reçete düzenlenmeksizin yapılacak ilaç temininde;</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SUT eki “Hasta Katılım Payından Muaf İlaçlar Listesi’nde (EK-2) yer alan hastalıklardan aşağıda belirtilen hastalık grupları ile bu hastalık grupları için EK-2 listesinde tanımlı ilaçlar uygulama kapsamındadır.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w:t>
      </w:r>
      <w:proofErr w:type="gramStart"/>
      <w:r>
        <w:rPr>
          <w:rFonts w:hAnsi="Times New Roman"/>
          <w:sz w:val="18"/>
          <w:szCs w:val="18"/>
        </w:rPr>
        <w:t>4.1</w:t>
      </w:r>
      <w:proofErr w:type="gramEnd"/>
      <w:r>
        <w:rPr>
          <w:rFonts w:hAnsi="Times New Roman"/>
          <w:sz w:val="18"/>
          <w:szCs w:val="18"/>
        </w:rPr>
        <w:t xml:space="preserve">.) Kalp Yetmezliği (I50)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w:t>
      </w:r>
      <w:proofErr w:type="gramStart"/>
      <w:r>
        <w:rPr>
          <w:rFonts w:hAnsi="Times New Roman"/>
          <w:sz w:val="18"/>
          <w:szCs w:val="18"/>
        </w:rPr>
        <w:t>4.2</w:t>
      </w:r>
      <w:proofErr w:type="gramEnd"/>
      <w:r>
        <w:rPr>
          <w:rFonts w:hAnsi="Times New Roman"/>
          <w:sz w:val="18"/>
          <w:szCs w:val="18"/>
        </w:rPr>
        <w:t xml:space="preserve">.) Koroner Arter Hastalığı (I20) (I25) (Z95.1) (Z95.5-Z95.9)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3- (</w:t>
      </w:r>
      <w:proofErr w:type="gramStart"/>
      <w:r>
        <w:rPr>
          <w:rFonts w:hAnsi="Times New Roman"/>
          <w:sz w:val="18"/>
          <w:szCs w:val="18"/>
        </w:rPr>
        <w:t>4.5</w:t>
      </w:r>
      <w:proofErr w:type="gramEnd"/>
      <w:r>
        <w:rPr>
          <w:rFonts w:hAnsi="Times New Roman"/>
          <w:sz w:val="18"/>
          <w:szCs w:val="18"/>
        </w:rPr>
        <w:t xml:space="preserve">.) Arteriyel hipertansiyon (I10 -I13) (I15)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4- (</w:t>
      </w:r>
      <w:proofErr w:type="gramStart"/>
      <w:r>
        <w:rPr>
          <w:rFonts w:hAnsi="Times New Roman"/>
          <w:sz w:val="18"/>
          <w:szCs w:val="18"/>
        </w:rPr>
        <w:t>4.8</w:t>
      </w:r>
      <w:proofErr w:type="gramEnd"/>
      <w:r>
        <w:rPr>
          <w:rFonts w:hAnsi="Times New Roman"/>
          <w:sz w:val="18"/>
          <w:szCs w:val="18"/>
        </w:rPr>
        <w:t xml:space="preserve">.) Hiperkolesterolemi*, hiperlipidemi * (E78)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5- (7.2.1.) Diabetes Mellitus (E10 – E14)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6- (10.3.1.) Parkinson hastalığı (G20)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7- (</w:t>
      </w:r>
      <w:proofErr w:type="gramStart"/>
      <w:r>
        <w:rPr>
          <w:rFonts w:hAnsi="Times New Roman"/>
          <w:sz w:val="18"/>
          <w:szCs w:val="18"/>
        </w:rPr>
        <w:t>10.7</w:t>
      </w:r>
      <w:proofErr w:type="gramEnd"/>
      <w:r>
        <w:rPr>
          <w:rFonts w:hAnsi="Times New Roman"/>
          <w:sz w:val="18"/>
          <w:szCs w:val="18"/>
        </w:rPr>
        <w:t xml:space="preserve">.) Demans (F00) (F01.1 – F01.9) (F02-F03) (G30)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8- (</w:t>
      </w:r>
      <w:proofErr w:type="gramStart"/>
      <w:r>
        <w:rPr>
          <w:rFonts w:hAnsi="Times New Roman"/>
          <w:sz w:val="18"/>
          <w:szCs w:val="18"/>
        </w:rPr>
        <w:t>12.1</w:t>
      </w:r>
      <w:proofErr w:type="gramEnd"/>
      <w:r>
        <w:rPr>
          <w:rFonts w:hAnsi="Times New Roman"/>
          <w:sz w:val="18"/>
          <w:szCs w:val="18"/>
        </w:rPr>
        <w:t xml:space="preserve">.) Glokom (H40.1-H40.9)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9- (</w:t>
      </w:r>
      <w:proofErr w:type="gramStart"/>
      <w:r>
        <w:rPr>
          <w:rFonts w:hAnsi="Times New Roman"/>
          <w:sz w:val="18"/>
          <w:szCs w:val="18"/>
        </w:rPr>
        <w:t>12.2</w:t>
      </w:r>
      <w:proofErr w:type="gramEnd"/>
      <w:r>
        <w:rPr>
          <w:rFonts w:hAnsi="Times New Roman"/>
          <w:sz w:val="18"/>
          <w:szCs w:val="18"/>
        </w:rPr>
        <w:t xml:space="preserve">) Kronik ve nükseden üveitler, tiroide bağlı oftalmopati ve sempatik oftalmi, keratoplasti red reaksiyonu (H20.1) (H20.8) (H06.2) (H44.1) (T86.8-T86.9)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10- (</w:t>
      </w:r>
      <w:proofErr w:type="gramStart"/>
      <w:r>
        <w:rPr>
          <w:rFonts w:hAnsi="Times New Roman"/>
          <w:sz w:val="18"/>
          <w:szCs w:val="18"/>
        </w:rPr>
        <w:t>12.3</w:t>
      </w:r>
      <w:proofErr w:type="gramEnd"/>
      <w:r>
        <w:rPr>
          <w:rFonts w:hAnsi="Times New Roman"/>
          <w:sz w:val="18"/>
          <w:szCs w:val="18"/>
        </w:rPr>
        <w:t xml:space="preserve">.) Kuru göz sendromu (H04.1)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Yukarıda belirtilen hastalıklarda sağlık raporuna dayanılarak düzenlenmiş reçeteye istinaden yeniden reçete düzenlenmeksizin eczaneden ilaç temin edilebilir. Bu şekilde ilaç temini, düzenlenmiş reçete tarihi itibariyle 6 aylık süreyi </w:t>
      </w:r>
      <w:proofErr w:type="gramStart"/>
      <w:r>
        <w:rPr>
          <w:rFonts w:hAnsi="Times New Roman"/>
          <w:sz w:val="18"/>
          <w:szCs w:val="18"/>
        </w:rPr>
        <w:t>kapsar</w:t>
      </w:r>
      <w:proofErr w:type="gramEnd"/>
      <w:r>
        <w:rPr>
          <w:rFonts w:hAnsi="Times New Roman"/>
          <w:sz w:val="18"/>
          <w:szCs w:val="18"/>
        </w:rPr>
        <w:t>. Süre bitiminde tekrar reçete düzenlenir.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6 ay boyunca, düzenlenmiş reçetede yazılı miktarlar esas alınarak, yeniden reçete düzenlenmeksizin bu miktarlarda ilaç temin edilebilir. Ancak SUT ’ta belirtilen özel hükümler ile düzenlenmiş reçetede yazılı günlük kullanım dozuna göre bir seferde üç aylık tedavi dozunun aşılmaması gözetilir.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ç) Raporun geçerlilik süresinin bitmesi durumunda yeniden rapor ve reçete düzenlenmesi şartı aranır.”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6.2.1.C-1 numaralı maddesinin birinci ve yedinci fıkraları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(1) Erişkin ve Juvenil Romatoid Artirit;</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a) Romatoid artritli erişkin hastalarda; biri metotreksat olmak üzere en az 3 farklı hastalık modifiye edici antiromatizmal ilacı, en az 3’er ay kullanmış olmasına rağmen hastalık aktivitesinin kontrol altına alınamadığı (Hastalık Aktivite Skoru (DAS) 28 &gt; </w:t>
      </w:r>
      <w:proofErr w:type="gramStart"/>
      <w:r>
        <w:rPr>
          <w:rFonts w:hAnsi="Times New Roman"/>
          <w:sz w:val="18"/>
          <w:szCs w:val="18"/>
        </w:rPr>
        <w:t>5.1</w:t>
      </w:r>
      <w:proofErr w:type="gramEnd"/>
      <w:r>
        <w:rPr>
          <w:rFonts w:hAnsi="Times New Roman"/>
          <w:sz w:val="18"/>
          <w:szCs w:val="18"/>
        </w:rPr>
        <w:t xml:space="preserve">) jüvenil romatoid artritte DAS 28 kriteri aranmaz) hallerde, 3 ay süreli sağlık kurulu raporuna dayanılarak ilaca başlanır. İlaca başlandıktan 3 ay sonra yapılan değerlendirmede DAS 28’te </w:t>
      </w:r>
      <w:proofErr w:type="gramStart"/>
      <w:r>
        <w:rPr>
          <w:rFonts w:hAnsi="Times New Roman"/>
          <w:sz w:val="18"/>
          <w:szCs w:val="18"/>
        </w:rPr>
        <w:t>0.6</w:t>
      </w:r>
      <w:proofErr w:type="gramEnd"/>
      <w:r>
        <w:rPr>
          <w:rFonts w:hAnsi="Times New Roman"/>
          <w:sz w:val="18"/>
          <w:szCs w:val="18"/>
        </w:rPr>
        <w:t xml:space="preserve"> puandan fazla düşme olması halinde, bu durumun yeni düzenlenecek 3 ay süreli sağlık kurulu raporunda belirtilmesi koşulu ile 3 ay daha tedaviye devam edilir. Bu raporun süresi sonunda DAS 28’te toplam 1,2 puandan fazla düşme olması halinde bu durumun yeni düzenlenecek 6 ay süreli sağlık kurulu raporunda belirtilmesi koşulu ile hastaların tedavisine devam edilebilir. Tedavinin devamında DAS 28 </w:t>
      </w:r>
      <w:proofErr w:type="gramStart"/>
      <w:r>
        <w:rPr>
          <w:rFonts w:hAnsi="Times New Roman"/>
          <w:sz w:val="18"/>
          <w:szCs w:val="18"/>
        </w:rPr>
        <w:t>kriterine</w:t>
      </w:r>
      <w:proofErr w:type="gramEnd"/>
      <w:r>
        <w:rPr>
          <w:rFonts w:hAnsi="Times New Roman"/>
          <w:sz w:val="18"/>
          <w:szCs w:val="18"/>
        </w:rPr>
        <w:t xml:space="preserve"> 6 ayda bir bakılır, başlangıç ve yeni DAS 28 skorları her sağlık kurulu raporunda belirtilir. Tedaviye rağmen hastanın DAS 28 skorunda, başlangıç DAS 28 skoruna göre, 1,2 puandan fazla düşme gösterilemezse tedavi kesilir.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Juvenil romatoid artritli (Poliartiküler -idiyopatik-kronik) hastalarda NSAİ ve/veya metotreksat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w:t>
      </w:r>
      <w:proofErr w:type="gramStart"/>
      <w:r>
        <w:rPr>
          <w:rFonts w:hAnsi="Times New Roman"/>
          <w:sz w:val="18"/>
          <w:szCs w:val="18"/>
        </w:rPr>
        <w:t>kriteri</w:t>
      </w:r>
      <w:proofErr w:type="gramEnd"/>
      <w:r>
        <w:rPr>
          <w:rFonts w:hAnsi="Times New Roman"/>
          <w:sz w:val="18"/>
          <w:szCs w:val="18"/>
        </w:rPr>
        <w:t xml:space="preserve"> 50 ve üzerinde olması halinde bu durumun yeni düzenlenecek 6 ay süreli sağlık kurulu raporunda belirtilmesi koşulu ile hastaların tedavisine devam edilebilir. Tedavinin devamında ACR pediatrik cevap </w:t>
      </w:r>
      <w:proofErr w:type="gramStart"/>
      <w:r>
        <w:rPr>
          <w:rFonts w:hAnsi="Times New Roman"/>
          <w:sz w:val="18"/>
          <w:szCs w:val="18"/>
        </w:rPr>
        <w:t>kriterine</w:t>
      </w:r>
      <w:proofErr w:type="gramEnd"/>
      <w:r>
        <w:rPr>
          <w:rFonts w:hAnsi="Times New Roman"/>
          <w:sz w:val="18"/>
          <w:szCs w:val="18"/>
        </w:rPr>
        <w:t xml:space="preserve"> 6 ayda bir bakılır, başlangıç ve ACR pediatrik cevap kriteri her sağlık kurulu </w:t>
      </w:r>
      <w:r>
        <w:rPr>
          <w:rFonts w:hAnsi="Times New Roman"/>
          <w:sz w:val="18"/>
          <w:szCs w:val="18"/>
        </w:rPr>
        <w:lastRenderedPageBreak/>
        <w:t xml:space="preserve">raporunda belirtilir. Tedaviye rağmen ACR pediatrik cevap </w:t>
      </w:r>
      <w:proofErr w:type="gramStart"/>
      <w:r>
        <w:rPr>
          <w:rFonts w:hAnsi="Times New Roman"/>
          <w:sz w:val="18"/>
          <w:szCs w:val="18"/>
        </w:rPr>
        <w:t>kriteri</w:t>
      </w:r>
      <w:proofErr w:type="gramEnd"/>
      <w:r>
        <w:rPr>
          <w:rFonts w:hAnsi="Times New Roman"/>
          <w:sz w:val="18"/>
          <w:szCs w:val="18"/>
        </w:rPr>
        <w:t xml:space="preserve"> 50 ye ulaşmayan hastalarda Anti TNF tedavisine devam edilmez.”</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“(7) Bu ilaçların intravenöz formları, fiziksel tıp ve </w:t>
      </w:r>
      <w:proofErr w:type="gramStart"/>
      <w:r>
        <w:rPr>
          <w:rFonts w:hAnsi="Times New Roman"/>
          <w:sz w:val="18"/>
          <w:szCs w:val="18"/>
        </w:rPr>
        <w:t>rehabilitasyon</w:t>
      </w:r>
      <w:proofErr w:type="gramEnd"/>
      <w:r>
        <w:rPr>
          <w:rFonts w:hAnsi="Times New Roman"/>
          <w:sz w:val="18"/>
          <w:szCs w:val="18"/>
        </w:rPr>
        <w:t xml:space="preserve">, iç hastalıkları veya çocuk sağlığı ve hastalıkları uzman hekiminin bulunduğu sağlık kurumunda uygulanır. Subkütan formlarının ilk dozları fiziksel tıp ve </w:t>
      </w:r>
      <w:proofErr w:type="gramStart"/>
      <w:r>
        <w:rPr>
          <w:rFonts w:hAnsi="Times New Roman"/>
          <w:sz w:val="18"/>
          <w:szCs w:val="18"/>
        </w:rPr>
        <w:t>rehabilitasyon</w:t>
      </w:r>
      <w:proofErr w:type="gramEnd"/>
      <w:r>
        <w:rPr>
          <w:rFonts w:hAnsi="Times New Roman"/>
          <w:sz w:val="18"/>
          <w:szCs w:val="18"/>
        </w:rPr>
        <w:t>, iç hastalıkları veya çocuk sağlığı ve hastalıkları uzman hekiminin bulunduğu sağlık tesisinde hekim gözetiminde yapılır, uygun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Tebliğin 6.2.1.C-3 numaralı maddesi aşağıdaki şekilde değiştirilmiştir.</w:t>
      </w:r>
    </w:p>
    <w:p w:rsidR="006E556D" w:rsidRDefault="006E556D" w:rsidP="006E556D">
      <w:pPr>
        <w:pStyle w:val="3-NormalYaz"/>
        <w:spacing w:line="240" w:lineRule="exact"/>
        <w:ind w:firstLine="566"/>
        <w:rPr>
          <w:rFonts w:hAnsi="Times New Roman"/>
          <w:b/>
          <w:sz w:val="18"/>
          <w:szCs w:val="18"/>
        </w:rPr>
      </w:pPr>
      <w:r>
        <w:rPr>
          <w:rFonts w:hAnsi="Times New Roman"/>
          <w:b/>
          <w:sz w:val="18"/>
          <w:szCs w:val="18"/>
        </w:rPr>
        <w:t>“6.2.1.C-3-Abatasept</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Romatoid artritli erişkin hastalarda;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a) Aktif romatoid artriti bulunan biri metotreksat olmak üzere en az 3 farklı hastalık modifiye edici antiromatizmal ilacı, en az 3’er ay kullanmış olmasına veya en az bir anti TNF tedavisine rağmen hastalığı kontrol edilemeyen (DAS 28 SKORU&gt;5.1 olan) erişkin hastalarda metotreksat ile birlikte, yalnızca üniversite veya eğitim ve araştırma hastanelerinde içinde en az bir romatoloji, klinik immunoloji veya fiziksel tıp ve </w:t>
      </w:r>
      <w:proofErr w:type="gramStart"/>
      <w:r>
        <w:rPr>
          <w:rFonts w:hAnsi="Times New Roman"/>
          <w:sz w:val="18"/>
          <w:szCs w:val="18"/>
        </w:rPr>
        <w:t>rehabilitasyon</w:t>
      </w:r>
      <w:proofErr w:type="gramEnd"/>
      <w:r>
        <w:rPr>
          <w:rFonts w:hAnsi="Times New Roman"/>
          <w:sz w:val="18"/>
          <w:szCs w:val="18"/>
        </w:rPr>
        <w:t xml:space="preserve"> uzmanının bulunduğu 3 ay süreli sağlık kurulu raporuna dayanılarak bu uzman hekimler tarafından reçetelenir.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İlaca başlandıktan 3 ay sonra yapılan değerlendirmede DAS 28’te </w:t>
      </w:r>
      <w:proofErr w:type="gramStart"/>
      <w:r>
        <w:rPr>
          <w:rFonts w:hAnsi="Times New Roman"/>
          <w:sz w:val="18"/>
          <w:szCs w:val="18"/>
        </w:rPr>
        <w:t>0.6</w:t>
      </w:r>
      <w:proofErr w:type="gramEnd"/>
      <w:r>
        <w:rPr>
          <w:rFonts w:hAnsi="Times New Roman"/>
          <w:sz w:val="18"/>
          <w:szCs w:val="18"/>
        </w:rPr>
        <w:t xml:space="preserve"> puandan fazla düşme olması halinde, bu durumun yeni düzenlenecek 3 ay süreli sağlık kurulu raporunda belirtilmesi koşulu ile 3 ay daha tedaviye devam edilir.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Bu raporun süresi sonunda DAS 28’te toplam 1,2 puandan fazla düşme olması halinde bu durumun yeni düzenlenecek 6 ay süreli sağlık kurulu raporunda belirtilmesi koşulu ile hastaların tedavisine devam edilebilir.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ç) Tedavinin devamında DAS 28 </w:t>
      </w:r>
      <w:proofErr w:type="gramStart"/>
      <w:r>
        <w:rPr>
          <w:rFonts w:hAnsi="Times New Roman"/>
          <w:sz w:val="18"/>
          <w:szCs w:val="18"/>
        </w:rPr>
        <w:t>kriterine</w:t>
      </w:r>
      <w:proofErr w:type="gramEnd"/>
      <w:r>
        <w:rPr>
          <w:rFonts w:hAnsi="Times New Roman"/>
          <w:sz w:val="18"/>
          <w:szCs w:val="18"/>
        </w:rPr>
        <w:t xml:space="preserve"> 6 ayda bir bakılır, başlangıç ve yeni DAS 28 skorları her 6 ay süreli sağlık kurulu raporunda belirtilir. Tedaviye rağmen hastanın DAS 28 skorunda, başlangıç DAS 28 skoruna göre, 1,2 puandan fazla düşme gösterilemezse tedavi kesilir.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Juvenil romatoid artritli (Poliartiküler-idiyopatik) hastalarda;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a) 3 aylık anti TNF tedavisine rağmen ACR pediatrik 30 cevap kriterine ulaşamayan çocuk hastalarda metotreksat ile </w:t>
      </w:r>
      <w:proofErr w:type="gramStart"/>
      <w:r>
        <w:rPr>
          <w:rFonts w:hAnsi="Times New Roman"/>
          <w:sz w:val="18"/>
          <w:szCs w:val="18"/>
        </w:rPr>
        <w:t>kombinasyon</w:t>
      </w:r>
      <w:proofErr w:type="gramEnd"/>
      <w:r>
        <w:rPr>
          <w:rFonts w:hAnsi="Times New Roman"/>
          <w:sz w:val="18"/>
          <w:szCs w:val="18"/>
        </w:rPr>
        <w:t xml:space="preserve"> halinde,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İlk 3 aylık abatasept kullanımı sonunda ACR pediatrik 30 cevabına ulaşmış hastalar için bu durum raporunda belirtilmek koşuluyla tedavi devam ettirilir. Bu raporun süresi sonunda hastanın ACR pediatrik cevap </w:t>
      </w:r>
      <w:proofErr w:type="gramStart"/>
      <w:r>
        <w:rPr>
          <w:rFonts w:hAnsi="Times New Roman"/>
          <w:sz w:val="18"/>
          <w:szCs w:val="18"/>
        </w:rPr>
        <w:t>kriteri</w:t>
      </w:r>
      <w:proofErr w:type="gramEnd"/>
      <w:r>
        <w:rPr>
          <w:rFonts w:hAnsi="Times New Roman"/>
          <w:sz w:val="18"/>
          <w:szCs w:val="18"/>
        </w:rPr>
        <w:t xml:space="preserve"> 50 ve üzerinde olması halinde bu durumun ve 3. Aydaki ACR pediatrik cevap kriterinin yeni düzenlenecek 6 ay süreli sağlık kurulu raporunda belirtilmesi koşulu ile hastaların tedavisine devam edilebilir. Tedavinin devamında 6 ayda bir ACR pediatrik cevap </w:t>
      </w:r>
      <w:proofErr w:type="gramStart"/>
      <w:r>
        <w:rPr>
          <w:rFonts w:hAnsi="Times New Roman"/>
          <w:sz w:val="18"/>
          <w:szCs w:val="18"/>
        </w:rPr>
        <w:t>kriterine</w:t>
      </w:r>
      <w:proofErr w:type="gramEnd"/>
      <w:r>
        <w:rPr>
          <w:rFonts w:hAnsi="Times New Roman"/>
          <w:sz w:val="18"/>
          <w:szCs w:val="18"/>
        </w:rPr>
        <w:t xml:space="preserve"> bakılır, başlangıç ve ACR cevap kriterleri her sağlık kurulu raporunda belirtilir. Tedaviye rağmen ACR pediatrik cevap </w:t>
      </w:r>
      <w:proofErr w:type="gramStart"/>
      <w:r>
        <w:rPr>
          <w:rFonts w:hAnsi="Times New Roman"/>
          <w:sz w:val="18"/>
          <w:szCs w:val="18"/>
        </w:rPr>
        <w:t>kriteri</w:t>
      </w:r>
      <w:proofErr w:type="gramEnd"/>
      <w:r>
        <w:rPr>
          <w:rFonts w:hAnsi="Times New Roman"/>
          <w:sz w:val="18"/>
          <w:szCs w:val="18"/>
        </w:rPr>
        <w:t xml:space="preserve"> 50 ye ulaşmayan hastalarda abatasept tedavisine devam edilmez.”</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Tebliğin 6.2.2 numaralı maddesinin ikinci ve üçüncü fıkraları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“(2) Yeni nesil (atipik) antipsikotiklerin (klozapin, olanzapin, risperidon, amisülpirid, ketiapin, ziprosidon, aripiprazol, zotepine, Sertindol, paliperidon ) ve </w:t>
      </w:r>
      <w:proofErr w:type="gramStart"/>
      <w:r>
        <w:rPr>
          <w:rFonts w:hAnsi="Times New Roman"/>
          <w:sz w:val="18"/>
          <w:szCs w:val="18"/>
        </w:rPr>
        <w:t>kombinasyonlarının</w:t>
      </w:r>
      <w:proofErr w:type="gramEnd"/>
      <w:r>
        <w:rPr>
          <w:rFonts w:hAnsi="Times New Roman"/>
          <w:sz w:val="18"/>
          <w:szCs w:val="18"/>
        </w:rPr>
        <w:t xml:space="preserve"> oral formları, psikiyatri veya nöroloji uzman hekimleri tarafından veya bu hekimlerce düzenlenecek uzman hekim raporuna dayanılarak tüm hekimlerce reçete edilebilir. Klozapin en fazla 1 aylık dozda reçete edilebilir.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(3) Yeni nesil (atipik) antipsikotiklerin parenteral formları psikiyatri uzman hekimi veya bu uzman hekim tarafından düzenlenen uzman hekim raporuna dayanılarak tüm hekimlerce reçete edilebilir. Bu grup antipsikotiklerden risperidon ve paliperidonun parenteral formları ise Ek:2/B hükümlerine göre reçete edilebilir.”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Aynı Tebliğin 6.2.9.A numaralı maddesinin ikinci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Tetkik sonuç belgesinin tarihi ve sonucu reçete/raporda belirtilir.”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Aynı Tebliğin 6.2.9.A-1 numaralı maddesinin birinci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alınacak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 ayda bir bakılır ve tetkik sonuç belgesinin tarihi ve sonucu reçetede belirtilir. Tetkik sonuçlarının cihaz çıktısı şeklinde olması şart olup, el yazısı ile yazılan sonuçlar dikkate alınmaz.”</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Tebliğin 6.2.9.A-2 numaralı maddesinin birinci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“(1) Hemoglobin değeri 11 gr/dl'nin, blast oranı %5’in ve serum eritropoietin düzeyi 500mu/ml’nin altında olan hastalarda tedaviye başlanır. Hedef hemoglobin değeri 12 gr/dl’dir. Hb seviyesi 12 gr/dl’yi aşınca tedavi kesilir. Maksimum </w:t>
      </w:r>
      <w:r>
        <w:rPr>
          <w:rFonts w:hAnsi="Times New Roman"/>
          <w:sz w:val="18"/>
          <w:szCs w:val="18"/>
        </w:rPr>
        <w:lastRenderedPageBreak/>
        <w:t>doz haftada 900 IU/kg’ı aşmamalıdır. Eritropoietin alfa-beta ve darbepoetin, hematoloji uzman hekimi tarafından düzenlenen uzman hekim raporuna dayanılarak, hematoloji veya iç hastalıkları uzman hekimlerince reçete edilebilir. Hemogram sonuç belgesi tarihi ve sonucu reçetede belirtilir.”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Tebliğin 6.2.9.B numaralı maddesi aşağıdaki şekilde değiştirilmiştir.</w:t>
      </w:r>
    </w:p>
    <w:p w:rsidR="006E556D" w:rsidRDefault="006E556D" w:rsidP="006E556D">
      <w:pPr>
        <w:pStyle w:val="3-NormalYaz"/>
        <w:spacing w:line="240" w:lineRule="exact"/>
        <w:ind w:firstLine="566"/>
        <w:rPr>
          <w:rFonts w:hAnsi="Times New Roman"/>
          <w:b/>
          <w:sz w:val="18"/>
          <w:szCs w:val="18"/>
        </w:rPr>
      </w:pPr>
      <w:r>
        <w:rPr>
          <w:rFonts w:hAnsi="Times New Roman"/>
          <w:b/>
          <w:sz w:val="18"/>
          <w:szCs w:val="18"/>
        </w:rPr>
        <w:t>“6.2.9.B – Sevelamer ve alüminyum klorür hidroksit kullanım ilkeleri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Tedaviye başlamak için diğer fosfor düşürücü ilaçların en az 3 ay süreyle kullanılmış olması ve bu hususun raporda belirtilmiş olması gerekir. Bu süre sonunda: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Kalsiyum ve fosfor çarpımı 72 ve üzerinde olan veya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PTH düzeyinin 100 pg/ml değerinin altında olan adinamik kemik hastalığı olguları veya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c) Hastanın Kt/V değeri </w:t>
      </w:r>
      <w:proofErr w:type="gramStart"/>
      <w:r>
        <w:rPr>
          <w:rFonts w:hAnsi="Times New Roman"/>
          <w:sz w:val="18"/>
          <w:szCs w:val="18"/>
        </w:rPr>
        <w:t>1.4’ün</w:t>
      </w:r>
      <w:proofErr w:type="gramEnd"/>
      <w:r>
        <w:rPr>
          <w:rFonts w:hAnsi="Times New Roman"/>
          <w:sz w:val="18"/>
          <w:szCs w:val="18"/>
        </w:rPr>
        <w:t xml:space="preserve"> üzerinde olmasına rağmen düzeltilmiş kalsiyum ve fosfor çarpımı 55’in üzerinde olan veya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ç) Kt/V değeri </w:t>
      </w:r>
      <w:proofErr w:type="gramStart"/>
      <w:r>
        <w:rPr>
          <w:rFonts w:hAnsi="Times New Roman"/>
          <w:sz w:val="18"/>
          <w:szCs w:val="18"/>
        </w:rPr>
        <w:t>1.4'ün</w:t>
      </w:r>
      <w:proofErr w:type="gramEnd"/>
      <w:r>
        <w:rPr>
          <w:rFonts w:hAnsi="Times New Roman"/>
          <w:sz w:val="18"/>
          <w:szCs w:val="18"/>
        </w:rPr>
        <w:t xml:space="preserve"> üzerinde olan hastanın PTH değeri 300 pg/ml ve üzerinde olan, hastalarda tedaviye başlanır.</w:t>
      </w:r>
    </w:p>
    <w:p w:rsidR="006E556D" w:rsidRDefault="006E556D" w:rsidP="006E556D">
      <w:pPr>
        <w:pStyle w:val="3-NormalYaz"/>
        <w:spacing w:line="240" w:lineRule="exact"/>
        <w:ind w:firstLine="566"/>
        <w:rPr>
          <w:rFonts w:hAnsi="Times New Roman"/>
          <w:sz w:val="18"/>
          <w:szCs w:val="18"/>
        </w:rPr>
      </w:pPr>
      <w:proofErr w:type="gramStart"/>
      <w:r>
        <w:rPr>
          <w:rFonts w:hAnsi="Times New Roman"/>
          <w:sz w:val="18"/>
          <w:szCs w:val="18"/>
        </w:rPr>
        <w:t>(2) Hemodiyaliz veya periton diyaliz tedavisi altındaki hastalara nefroloji veya diyaliz sertifikalı iç hastalıkları/çocuk sağlığı ve hastalıkları uzman hekimlerinden birinin düzenlediği ve yukarıdaki durumlardan sevelamer veya alüminyum klorür hidroksit kullanımını gerektiren durumun belirtildiği uzman hekim raporuna dayanılarak bu hekimlerce veya diyaliz sertifikalı tüm hekimler tarafından reçete edildiğinde bedeli ödenir.</w:t>
      </w:r>
      <w:proofErr w:type="gramEnd"/>
    </w:p>
    <w:p w:rsidR="006E556D" w:rsidRDefault="006E556D" w:rsidP="006E556D">
      <w:pPr>
        <w:pStyle w:val="3-NormalYaz"/>
        <w:spacing w:line="240" w:lineRule="exact"/>
        <w:ind w:firstLine="566"/>
        <w:rPr>
          <w:rFonts w:hAnsi="Times New Roman"/>
          <w:sz w:val="18"/>
          <w:szCs w:val="18"/>
        </w:rPr>
      </w:pPr>
      <w:r>
        <w:rPr>
          <w:rFonts w:hAnsi="Times New Roman"/>
          <w:sz w:val="18"/>
          <w:szCs w:val="18"/>
        </w:rPr>
        <w:t>(3) Her reçetede fosfor düzeyini gösterir son 1 ay içinde yapılmış tetkik sonuç belgesinin tarihi ve sonucu belirtilir. Bir defada en fazla (birer aylık dozda) bir kutu ilaç verilir. Fosfor düzeyi 3.5mg/dl'nin altında olduğu durumlarda tedavi kesilir.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(4) Fosfor düzeyinin 3.5mg/dl'nin üzerine çıkması durumunda tedaviye ilk başlama </w:t>
      </w:r>
      <w:proofErr w:type="gramStart"/>
      <w:r>
        <w:rPr>
          <w:rFonts w:hAnsi="Times New Roman"/>
          <w:sz w:val="18"/>
          <w:szCs w:val="18"/>
        </w:rPr>
        <w:t>kriterleri</w:t>
      </w:r>
      <w:proofErr w:type="gramEnd"/>
      <w:r>
        <w:rPr>
          <w:rFonts w:hAnsi="Times New Roman"/>
          <w:sz w:val="18"/>
          <w:szCs w:val="18"/>
        </w:rPr>
        <w:t xml:space="preserve"> aranarak tekrar başlanabilir.”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Tebliğin 6.2.10.C.1 numaralı maddesinin (c), (ç) ve (d) bentleri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“c) 24 ayın bitiminden 72 ayın sonuna kadar olan hastalarda; “Denver Gelişim Envanteri” veya “Ankara Gelişim Envanteri” uygulanarak hastanın zihinsel gelişim durumu değerlendirilir. Değerlendirme sonucuna göre ileri derecede </w:t>
      </w:r>
      <w:proofErr w:type="gramStart"/>
      <w:r>
        <w:rPr>
          <w:rFonts w:hAnsi="Times New Roman"/>
          <w:sz w:val="18"/>
          <w:szCs w:val="18"/>
        </w:rPr>
        <w:t>zeka</w:t>
      </w:r>
      <w:proofErr w:type="gramEnd"/>
      <w:r>
        <w:rPr>
          <w:rFonts w:hAnsi="Times New Roman"/>
          <w:sz w:val="18"/>
          <w:szCs w:val="18"/>
        </w:rPr>
        <w:t xml:space="preserve"> özrü saptanmayan hastalarda tedaviye başlanır. İleri derecede zekâ özrü saptanan hastalarda tedaviye başlanmaz.</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ç)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d) Erişkin hastalarda WAIS testine göre tespit edilen IQ seviyesi 60 ve üzerinde olanlara tedavi başlanır.”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Aynı Tebliğin 6.2.13.E-2 numaralı maddesine aşağıdaki altıncı fıkra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“(6) Kompanse 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Tebliğin 6.2.13.E-3 numaralı maddesinin ikinci ve üçüncü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İnterferon veya pegileinterferon monoterapisi alan ve cevapsız olan hastalarda tedavi almamış hastalar ile aynı kurallara tabi olarak pegileinterferon + ribavirin tedavisi verilebilir.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(3) İnterferon + ribavirin veya pegileinterferon + ribavirin tedavisine cevap veren ancak nüks etmiş (tedavi bitiminde HCV RNA (-) olan ancak izleminde HCV RNA yeniden pozitifleşen) hastalarda bir defaya mahsus olmak üzere aşağıdaki tedavi şemalarından yalnızca biri kullanılabilir.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Yeniden interferon + ribavirin veya pegileinterferon + ribavirin tedavisi alabilirler. 16. haftadan sonra tedavinin sürdürülebilmesi için 12. haftada bakılan HCV RNA (-) ya da 2 log (100 kat) azalmış olmalıdır. Tedavi süresi 48 haftayı geçemez.</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Pegileinterferon + ribavirin + telaprevir (üçlü) tedavisi alabilirler. Bu hastalarda tedavinin 4. haftasında HCV RNA bakılır.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Tedavinin 4. haftasında bakılan HCV RNA (-) ise üçlü tedavi 12 haftaya, devamında pegileinterferon + ribavirin ile tedavi toplam 24 haftaya tamamlanır.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Tedavinin 4. haftasında bakılan HCV RNA (+) ise üçlü tedavi 12 haftaya, devamında pegileinterferon + ribavirin ile tedavi toplam 48 haftaya tamamlanır. Ancak tedaviye başlandıktan sonra 12. hafta sonunda HCV RNA düzeyleri 2 log (100 kat) azalmayanlarda tedavi süresi 16 haftayı geçemez. 24. haftada HCV RNA pozitifliği devam eden hastalarda tedavi en geç 28. hafta sonunda kesilir.”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Aynı Tebliğin 6.2.15-A – numaralı maddesinde aşağıdaki değişiklikler yapılmıştır.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Maddenin başlığı aşağıdaki şekilde değiştirilmiştir.</w:t>
      </w:r>
    </w:p>
    <w:p w:rsidR="006E556D" w:rsidRDefault="006E556D" w:rsidP="006E556D">
      <w:pPr>
        <w:pStyle w:val="3-NormalYaz"/>
        <w:spacing w:line="240" w:lineRule="exact"/>
        <w:ind w:firstLine="566"/>
        <w:rPr>
          <w:rFonts w:hAnsi="Times New Roman"/>
          <w:b/>
          <w:sz w:val="18"/>
          <w:szCs w:val="18"/>
        </w:rPr>
      </w:pPr>
      <w:r>
        <w:rPr>
          <w:rFonts w:hAnsi="Times New Roman"/>
          <w:b/>
          <w:sz w:val="18"/>
          <w:szCs w:val="18"/>
        </w:rPr>
        <w:t xml:space="preserve">“6.2.15.A – Klopidogrel (kombinasyonları </w:t>
      </w:r>
      <w:proofErr w:type="gramStart"/>
      <w:r>
        <w:rPr>
          <w:rFonts w:hAnsi="Times New Roman"/>
          <w:b/>
          <w:sz w:val="18"/>
          <w:szCs w:val="18"/>
        </w:rPr>
        <w:t>dahil</w:t>
      </w:r>
      <w:proofErr w:type="gramEnd"/>
      <w:r>
        <w:rPr>
          <w:rFonts w:hAnsi="Times New Roman"/>
          <w:b/>
          <w:sz w:val="18"/>
          <w:szCs w:val="18"/>
        </w:rPr>
        <w:t>)</w:t>
      </w:r>
      <w:r>
        <w:rPr>
          <w:rFonts w:hAnsi="Times New Roman"/>
          <w:b/>
          <w:bCs/>
          <w:sz w:val="18"/>
          <w:szCs w:val="18"/>
        </w:rPr>
        <w:t>”</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Üçüncü fıkrası aşağıdaki şekilde değiştirilmiştir.</w:t>
      </w:r>
    </w:p>
    <w:p w:rsidR="006E556D" w:rsidRDefault="006E556D" w:rsidP="006E556D">
      <w:pPr>
        <w:pStyle w:val="3-NormalYaz"/>
        <w:spacing w:line="240" w:lineRule="exact"/>
        <w:ind w:firstLine="566"/>
        <w:rPr>
          <w:rFonts w:hAnsi="Times New Roman"/>
          <w:sz w:val="18"/>
          <w:szCs w:val="18"/>
        </w:rPr>
      </w:pPr>
      <w:proofErr w:type="gramStart"/>
      <w:r>
        <w:rPr>
          <w:rFonts w:hAnsi="Times New Roman"/>
          <w:sz w:val="18"/>
          <w:szCs w:val="18"/>
        </w:rPr>
        <w:t xml:space="preserve">“(3) Kalp kapak biyoprotezi bulunanlarda, anjiografik olarak belgelenmiş koroner arter hastalığı, tıkayıcı periferik arter hastalığı veya serebral iskemik olay (iskemik inme) saptanan hastalarda, kardiyoloji, iç hastalıkları, nöroloji, kalp damar </w:t>
      </w:r>
      <w:r>
        <w:rPr>
          <w:rFonts w:hAnsi="Times New Roman"/>
          <w:sz w:val="18"/>
          <w:szCs w:val="18"/>
        </w:rPr>
        <w:lastRenderedPageBreak/>
        <w:t xml:space="preserve">cerrahisi veya acil tıp uzman hekimlerinden biri tarafından düzenlenen ve 12 ayı geçmemek üzere kullanım süresinin belirtildiği uzman hekim raporu ile diğer hekimler tarafından da reçete edilebilir. </w:t>
      </w:r>
      <w:proofErr w:type="gramEnd"/>
      <w:r>
        <w:rPr>
          <w:rFonts w:hAnsi="Times New Roman"/>
          <w:sz w:val="18"/>
          <w:szCs w:val="18"/>
        </w:rPr>
        <w:t>Raporun yenilenmesi halinde yukarıda belirtilen hususlar geçerlidir.”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Aynı Tebliğin 6.2.15.C numaralı maddesine aşağıdaki ikinci fıkra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“(2) Kronik kalp yetmezliği tedavisinde ejeksiyon </w:t>
      </w:r>
      <w:proofErr w:type="gramStart"/>
      <w:r>
        <w:rPr>
          <w:rFonts w:hAnsi="Times New Roman"/>
          <w:sz w:val="18"/>
          <w:szCs w:val="18"/>
        </w:rPr>
        <w:t>fraksiyonu</w:t>
      </w:r>
      <w:proofErr w:type="gramEnd"/>
      <w:r>
        <w:rPr>
          <w:rFonts w:hAnsi="Times New Roman"/>
          <w:sz w:val="18"/>
          <w:szCs w:val="18"/>
        </w:rPr>
        <w:t xml:space="preserve"> %45 in altında olan hastalarda aşağıdaki durumlarda en az bir kardiyoloji uzman hekiminin bulunduğu sağlık kurulu raporu ile kardiyoloji veya iç hastalıkları uzman hekimleri tarafından reçete edilebilir;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Beta blokör tedavisi altında olup halen kalp hızı yüksek seyreden veya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Beta blokör kontrendikasyonu olan veya</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Beta blokör tedavisine intoleransı olan.”</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Aynı Tebliğin 6.2.17.A numaralı maddesinin birinci ve ikinci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“(1) Osteoporoz tedavisinde bifosfonatlar (kombinasyonları </w:t>
      </w:r>
      <w:proofErr w:type="gramStart"/>
      <w:r>
        <w:rPr>
          <w:rFonts w:hAnsi="Times New Roman"/>
          <w:sz w:val="18"/>
          <w:szCs w:val="18"/>
        </w:rPr>
        <w:t>dahil</w:t>
      </w:r>
      <w:proofErr w:type="gramEnd"/>
      <w:r>
        <w:rPr>
          <w:rFonts w:hAnsi="Times New Roman"/>
          <w:sz w:val="18"/>
          <w:szCs w:val="18"/>
        </w:rPr>
        <w:t>) ve diğer osteoporoz ilaçları (raloksifen, calcitonin, stronsiyum ranelat) aşağıda belirtilen koşullar çerçevesinde ödenir. Bu ilaçlar tedavi süresinin belirtildiği sağlık raporuna dayanılarak reçete edilirler. Rapor süresi 1 yıldır. Bu grup ilaçların birlikte kombine kullanımı halinde sadece birinin bedeli ödenir.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(2) Osteoporozda ilaç tedavisi, düzenlenecek rapor tarihinden önce son bir yıl içinde yapılan KMY ölçümüyle planlanır. Ölçüm en erken 1 yıl sonra tekrar edilebilir ve yılda bir defadan daha sık yapılamaz. KMY ölçümünün tarihi ve sonucu reçete veya raporda belirtilir. KMY ölçümü bir kalçasında </w:t>
      </w:r>
      <w:proofErr w:type="gramStart"/>
      <w:r>
        <w:rPr>
          <w:rFonts w:hAnsi="Times New Roman"/>
          <w:sz w:val="18"/>
          <w:szCs w:val="18"/>
        </w:rPr>
        <w:t>protez</w:t>
      </w:r>
      <w:proofErr w:type="gramEnd"/>
      <w:r>
        <w:rPr>
          <w:rFonts w:hAnsi="Times New Roman"/>
          <w:sz w:val="18"/>
          <w:szCs w:val="18"/>
        </w:rPr>
        <w:t xml:space="preserve"> olan hastada diğer kalçadan, her iki kalçasında da protez olan hastada vertebra ya da ön koldan yapılabilir.”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Aynı Tebliğin 6.2.28.A numaralı maddesinin başlığı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“6.2.28.A – Statinler (antihipertansiflerle kombinasyonları </w:t>
      </w:r>
      <w:proofErr w:type="gramStart"/>
      <w:r>
        <w:rPr>
          <w:rFonts w:hAnsi="Times New Roman"/>
          <w:sz w:val="18"/>
          <w:szCs w:val="18"/>
        </w:rPr>
        <w:t>dahil</w:t>
      </w:r>
      <w:proofErr w:type="gramEnd"/>
      <w:r>
        <w:rPr>
          <w:rFonts w:hAnsi="Times New Roman"/>
          <w:sz w:val="18"/>
          <w:szCs w:val="18"/>
        </w:rPr>
        <w:t>) ”</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Aynı Tebliğin 6.2.32. numaralı maddesinde aşağıdaki değişiklikler yapılmıştır.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Maddenin başlığı aşağıdaki şekilde değiştirilmiştir.</w:t>
      </w:r>
    </w:p>
    <w:p w:rsidR="006E556D" w:rsidRDefault="006E556D" w:rsidP="006E556D">
      <w:pPr>
        <w:pStyle w:val="3-NormalYaz"/>
        <w:spacing w:line="240" w:lineRule="exact"/>
        <w:ind w:firstLine="566"/>
        <w:rPr>
          <w:rFonts w:hAnsi="Times New Roman"/>
          <w:b/>
          <w:sz w:val="18"/>
          <w:szCs w:val="18"/>
        </w:rPr>
      </w:pPr>
      <w:r>
        <w:rPr>
          <w:rFonts w:hAnsi="Times New Roman"/>
          <w:b/>
          <w:sz w:val="18"/>
          <w:szCs w:val="18"/>
        </w:rPr>
        <w:t>“ 6.2.32. Kontrast maddeler”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Maddeye aşağıdaki dördüncü fıkra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“(4) Gadobutrol: Sadece karaciğer ve böbrek manyetik </w:t>
      </w:r>
      <w:proofErr w:type="gramStart"/>
      <w:r>
        <w:rPr>
          <w:rFonts w:hAnsi="Times New Roman"/>
          <w:sz w:val="18"/>
          <w:szCs w:val="18"/>
        </w:rPr>
        <w:t>rezonans</w:t>
      </w:r>
      <w:proofErr w:type="gramEnd"/>
      <w:r>
        <w:rPr>
          <w:rFonts w:hAnsi="Times New Roman"/>
          <w:sz w:val="18"/>
          <w:szCs w:val="18"/>
        </w:rPr>
        <w:t xml:space="preserve"> incelemelerinde kullanılır.”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Aynı Tebliğin 6.2.33 numaralı maddesi aşağıdaki şekilde değiştirilmiştir.</w:t>
      </w:r>
    </w:p>
    <w:p w:rsidR="006E556D" w:rsidRDefault="006E556D" w:rsidP="006E556D">
      <w:pPr>
        <w:pStyle w:val="3-NormalYaz"/>
        <w:spacing w:line="240" w:lineRule="exact"/>
        <w:ind w:firstLine="566"/>
        <w:rPr>
          <w:rFonts w:hAnsi="Times New Roman"/>
          <w:b/>
          <w:sz w:val="18"/>
          <w:szCs w:val="18"/>
        </w:rPr>
      </w:pPr>
      <w:r>
        <w:rPr>
          <w:rFonts w:hAnsi="Times New Roman"/>
          <w:b/>
          <w:sz w:val="18"/>
          <w:szCs w:val="18"/>
        </w:rPr>
        <w:t>“6.2.33.Göz hastalıklarında ilaç kullanım ilkeleri</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6.2.33.1. Yaş tip yaşa bağlı makula </w:t>
      </w:r>
      <w:proofErr w:type="gramStart"/>
      <w:r>
        <w:rPr>
          <w:rFonts w:hAnsi="Times New Roman"/>
          <w:b/>
          <w:sz w:val="18"/>
          <w:szCs w:val="18"/>
        </w:rPr>
        <w:t>dejenerasyonunda</w:t>
      </w:r>
      <w:proofErr w:type="gramEnd"/>
      <w:r>
        <w:rPr>
          <w:rFonts w:hAnsi="Times New Roman"/>
          <w:b/>
          <w:sz w:val="18"/>
          <w:szCs w:val="18"/>
        </w:rPr>
        <w:t xml:space="preserve"> kullanılan ilaçların kullanım ilkeleri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 Pegaptanib Sodyum, Ranibizumab ve Vertaporfin etken maddelerini içeren ilaçlar; 3. basamak sağlık tesislerinde en az üç göz hastalıkları uzmanının yer aldığı sağlık kurulu raporu ile hasta anamnezi, FFA ve lezyona ait renkli resim varlığı raporda belirtilerek, göz hastalıkları uzmanlarınca reçetelenerek uygulanır.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(2) Ranibizumab; hasta anamnezi, FFA ve lezyona ait renkli resim varlığına ait bilgiler 3 ay süreli sağlık kurulu raporunda belirtilerek birer ay arayla 3 kez yükleme dozuyla başlanır. Hastalar izlenerek göz dibi bulguları, görme keskinliği ve optik koherens </w:t>
      </w:r>
      <w:proofErr w:type="gramStart"/>
      <w:r>
        <w:rPr>
          <w:rFonts w:hAnsi="Times New Roman"/>
          <w:sz w:val="18"/>
          <w:szCs w:val="18"/>
        </w:rPr>
        <w:t>tomografileri</w:t>
      </w:r>
      <w:proofErr w:type="gramEnd"/>
      <w:r>
        <w:rPr>
          <w:rFonts w:hAnsi="Times New Roman"/>
          <w:sz w:val="18"/>
          <w:szCs w:val="18"/>
        </w:rPr>
        <w:t xml:space="preserve"> (OKT) değerlendirilir ve tekrar tedavi gerekirse bu bulgular ve tedaviye devam kararı her uygulama için düzenlenecek yeni sağlık kurulu raporunda belirtilir.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(3) Bu grup ilaçlar ardışık ya da kombine olarak kullanılamayacaktır.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(4) Bu grup ilaçlar 1.1.2011 tarihinden itibaren yalnızca ayaktan tedavi kapsamında ödenecektir (Depocu satış fiyatlı ürünler hariç).”</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6.2.33.2. Retina ven dalı tıkanıklığı (RVDT) ve santral retinal ven tıkanıklığında (SRVT) ilaç kullanım ilkeleri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(1) Deksametazon intravitreal implant; her bir uygulama için; makula ödemi olan hastanın anamnezi, FFA ve lezyona ait renkli resim ve optik koherens </w:t>
      </w:r>
      <w:proofErr w:type="gramStart"/>
      <w:r>
        <w:rPr>
          <w:rFonts w:hAnsi="Times New Roman"/>
          <w:sz w:val="18"/>
          <w:szCs w:val="18"/>
        </w:rPr>
        <w:t>tomografi</w:t>
      </w:r>
      <w:proofErr w:type="gramEnd"/>
      <w:r>
        <w:rPr>
          <w:rFonts w:hAnsi="Times New Roman"/>
          <w:sz w:val="18"/>
          <w:szCs w:val="18"/>
        </w:rPr>
        <w:t xml:space="preserve"> (OKT) varlığı sağlık kurulu raporunda belirtilerek tedaviye başlanır. Görme keskinliği </w:t>
      </w:r>
      <w:proofErr w:type="gramStart"/>
      <w:r>
        <w:rPr>
          <w:rFonts w:hAnsi="Times New Roman"/>
          <w:sz w:val="18"/>
          <w:szCs w:val="18"/>
        </w:rPr>
        <w:t>0.5</w:t>
      </w:r>
      <w:proofErr w:type="gramEnd"/>
      <w:r>
        <w:rPr>
          <w:rFonts w:hAnsi="Times New Roman"/>
          <w:sz w:val="18"/>
          <w:szCs w:val="18"/>
        </w:rPr>
        <w:t xml:space="preserve"> ve altı ve/veya OKT’de CRT 250 mikron ve üzerinde ise tekrar tedavi verilebilir. Bu bulgular ve tedaviye devam kararı her uygulama için düzenlenecek yeni sağlık kurulu raporunda belirtilir.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(2) Her bir göz için yılda maksimum 2 uygulama yapılır.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(3) 3. basamak sağlık tesislerinde en az üç göz hastalıkları uzmanı tarafından düzenlenen sağlık kurulu raporuna dayanılarak göz hastalıkları uzmanlarınca reçetelenir.”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Aynı Tebliğin 6.2.41 numaralı maddesinin birinci fıkrasına aşağıdaki düzenlemeler 8, 9, 10, 11, 12, 13 ve 14 üncü alt madde olarak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“8-Demir eksikliği anemisi bulunan (saturasyon &lt;%20 ve/veya ferritin &lt;100 mcg/l) evre </w:t>
      </w:r>
      <w:proofErr w:type="gramStart"/>
      <w:r>
        <w:rPr>
          <w:rFonts w:hAnsi="Times New Roman"/>
          <w:sz w:val="18"/>
          <w:szCs w:val="18"/>
        </w:rPr>
        <w:t>III,IV</w:t>
      </w:r>
      <w:proofErr w:type="gramEnd"/>
      <w:r>
        <w:rPr>
          <w:rFonts w:hAnsi="Times New Roman"/>
          <w:sz w:val="18"/>
          <w:szCs w:val="18"/>
        </w:rPr>
        <w:t>,V kronik böbrek hastaları</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9-Periton diyaliz hastalarının anemisi,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10-Postpartum dönemde gözlenen anemi,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11-Cerrahi öncesi ve sonrası gözlenen anemi,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12-Kansere bağlı anemi,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13-KKY hastalarının anemisi,</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14-Prediyaliz (hemodiyaliz ve periton diyaliz öncesi son dönem [evre V] KBY hastaları) hastalarının anemisi,”</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Tebliğin 6.4.2 numaralı maddesine aşağıdaki dördüncü fıkra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lastRenderedPageBreak/>
        <w:t>“(4) Faktörler, plazma kaynaklı ve rekombinant kaynaklı ürünler olarak aynı fiyat karşılaştırması temelinde ancak eczane ikamesi açısından ayrı eşdeğer gruplarda değerlendirilir.”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21 – </w:t>
      </w:r>
      <w:r>
        <w:rPr>
          <w:rFonts w:hAnsi="Times New Roman"/>
          <w:sz w:val="18"/>
          <w:szCs w:val="18"/>
        </w:rPr>
        <w:t xml:space="preserve">Aynı Tebliğin </w:t>
      </w:r>
      <w:proofErr w:type="gramStart"/>
      <w:r>
        <w:rPr>
          <w:rFonts w:hAnsi="Times New Roman"/>
          <w:sz w:val="18"/>
          <w:szCs w:val="18"/>
        </w:rPr>
        <w:t>6.7</w:t>
      </w:r>
      <w:proofErr w:type="gramEnd"/>
      <w:r>
        <w:rPr>
          <w:rFonts w:hAnsi="Times New Roman"/>
          <w:sz w:val="18"/>
          <w:szCs w:val="18"/>
        </w:rPr>
        <w:t xml:space="preserve"> numaralı maddesinin altıncı fıkrası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kurulu raporu gerekli değildir. Yeterli uzman hekimi olmayan yerlerde, çıkan vakalara vaktinde müdahale edilebilmesi için yalnız kuduz ve tetanos immunglobulinleri pratisyen hekim tarafından da kan ürünleri reçetesine yazılabilir.”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 xml:space="preserve">Aynı Tebliğin </w:t>
      </w:r>
      <w:proofErr w:type="gramStart"/>
      <w:r>
        <w:rPr>
          <w:rFonts w:hAnsi="Times New Roman"/>
          <w:sz w:val="18"/>
          <w:szCs w:val="18"/>
        </w:rPr>
        <w:t>7.1</w:t>
      </w:r>
      <w:proofErr w:type="gramEnd"/>
      <w:r>
        <w:rPr>
          <w:rFonts w:hAnsi="Times New Roman"/>
          <w:sz w:val="18"/>
          <w:szCs w:val="18"/>
        </w:rPr>
        <w:t xml:space="preserve"> numaralı maddesinin yirmi dokuzuncu fıkrasına aşağıdaki cümle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“Ancak bu </w:t>
      </w:r>
      <w:proofErr w:type="gramStart"/>
      <w:r>
        <w:rPr>
          <w:rFonts w:hAnsi="Times New Roman"/>
          <w:sz w:val="18"/>
          <w:szCs w:val="18"/>
        </w:rPr>
        <w:t>branş</w:t>
      </w:r>
      <w:proofErr w:type="gramEnd"/>
      <w:r>
        <w:rPr>
          <w:rFonts w:hAnsi="Times New Roman"/>
          <w:sz w:val="18"/>
          <w:szCs w:val="18"/>
        </w:rPr>
        <w:t xml:space="preserve"> listelerinde birden fazla branşta kullanılan tıbbi sarf malzemeleri (eldiven, sütur, sonda vb.) yer almamakta olup, söz konusu malzemelerin kullanıldığı branştan fatura edilmesi halinde SUT hükümleri doğrultusunda bedelleri Kurumca karşılanır.”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Aynı Tebliğin eki Sistemik Antimikrobik ve Diğer İlaçların Reçeteleme Kuralları (Ek-2/A) listesinde aşağıdaki değişiklikler yapılmıştır.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“Antiviral İlaçlar” başlıklı (11) numaralı maddesinin A alt bendine 13 numaralı satır eklenmiştir.</w:t>
      </w:r>
    </w:p>
    <w:p w:rsidR="006E556D" w:rsidRDefault="006E556D" w:rsidP="006E556D">
      <w:pPr>
        <w:pStyle w:val="3-NormalYaz"/>
        <w:spacing w:line="240" w:lineRule="exact"/>
        <w:jc w:val="center"/>
        <w:rPr>
          <w:rFonts w:hAnsi="Times New Roman"/>
          <w:sz w:val="18"/>
          <w:szCs w:val="18"/>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1079"/>
        <w:gridCol w:w="7146"/>
      </w:tblGrid>
      <w:tr w:rsidR="006E556D">
        <w:trPr>
          <w:cantSplit/>
          <w:trHeight w:val="2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b/>
                <w:sz w:val="18"/>
                <w:szCs w:val="18"/>
              </w:rPr>
            </w:pPr>
            <w:r>
              <w:rPr>
                <w:sz w:val="18"/>
                <w:szCs w:val="18"/>
              </w:rPr>
              <w:t>13</w:t>
            </w:r>
          </w:p>
        </w:tc>
        <w:tc>
          <w:tcPr>
            <w:tcW w:w="1079"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Etravirin</w:t>
            </w:r>
          </w:p>
        </w:tc>
        <w:tc>
          <w:tcPr>
            <w:tcW w:w="7146"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 xml:space="preserve">Daha önce antiretroviral tedavi görmüş ancak direnç (virolojik yanıtsızlık [viral yük &gt;50 kopya /ml] ve/veya uygun direnç testleriyle belirlenmiş) gelişmiş erişkin hastalarda; </w:t>
            </w:r>
            <w:proofErr w:type="gramStart"/>
            <w:r>
              <w:rPr>
                <w:sz w:val="18"/>
                <w:szCs w:val="18"/>
              </w:rPr>
              <w:t>enfeksiyon</w:t>
            </w:r>
            <w:proofErr w:type="gramEnd"/>
            <w:r>
              <w:rPr>
                <w:sz w:val="18"/>
                <w:szCs w:val="18"/>
              </w:rPr>
              <w:t xml:space="preserve"> hastalıkları uzman hekimlerince düzenlenen uzman hekim raporuna istinaden bu hekimlerce veya iç hastalıkları uzman hekimlerince reçetelenir.</w:t>
            </w:r>
          </w:p>
        </w:tc>
      </w:tr>
    </w:tbl>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“Diğerleri” başlıklı (13) numaralı maddesinin (7) numaralı alt maddesi yürürlükten kaldırılmıştır.</w:t>
      </w:r>
    </w:p>
    <w:p w:rsidR="006E556D" w:rsidRDefault="006E556D" w:rsidP="006E556D">
      <w:pPr>
        <w:pStyle w:val="3-NormalYaz"/>
        <w:spacing w:line="240" w:lineRule="exact"/>
        <w:jc w:val="center"/>
        <w:rPr>
          <w:rFonts w:hAnsi="Times New Roman"/>
          <w:sz w:val="18"/>
          <w:szCs w:val="18"/>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757"/>
        <w:gridCol w:w="3468"/>
      </w:tblGrid>
      <w:tr w:rsidR="006E556D">
        <w:trPr>
          <w:cantSplit/>
          <w:trHeight w:val="2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b/>
                <w:sz w:val="18"/>
                <w:szCs w:val="18"/>
              </w:rPr>
            </w:pPr>
            <w:r>
              <w:rPr>
                <w:sz w:val="18"/>
                <w:szCs w:val="18"/>
              </w:rPr>
              <w:t>7</w:t>
            </w:r>
          </w:p>
        </w:tc>
        <w:tc>
          <w:tcPr>
            <w:tcW w:w="4757"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Mülga</w:t>
            </w:r>
          </w:p>
        </w:tc>
        <w:tc>
          <w:tcPr>
            <w:tcW w:w="3468"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Mülga</w:t>
            </w:r>
          </w:p>
        </w:tc>
      </w:tr>
    </w:tbl>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“Diğerleri” başlıklı (13) numaralı maddesinin (8) numaralı alt maddesi aşağıdaki şekilde değiştirilmiştir.</w:t>
      </w:r>
    </w:p>
    <w:p w:rsidR="006E556D" w:rsidRDefault="006E556D" w:rsidP="006E556D">
      <w:pPr>
        <w:pStyle w:val="3-NormalYaz"/>
        <w:spacing w:line="240" w:lineRule="exact"/>
        <w:jc w:val="center"/>
        <w:rPr>
          <w:rFonts w:hAnsi="Times New Roman"/>
          <w:sz w:val="18"/>
          <w:szCs w:val="18"/>
        </w:rPr>
      </w:pPr>
    </w:p>
    <w:tbl>
      <w:tblPr>
        <w:tblW w:w="88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4319"/>
        <w:gridCol w:w="3906"/>
      </w:tblGrid>
      <w:tr w:rsidR="006E556D">
        <w:trPr>
          <w:cantSplit/>
          <w:trHeight w:val="2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8</w:t>
            </w:r>
          </w:p>
        </w:tc>
        <w:tc>
          <w:tcPr>
            <w:tcW w:w="4319"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 xml:space="preserve">Allantoin+ </w:t>
            </w:r>
            <w:hyperlink r:id="rId4" w:history="1">
              <w:r>
                <w:rPr>
                  <w:rStyle w:val="Kpr"/>
                  <w:color w:val="auto"/>
                  <w:sz w:val="18"/>
                  <w:szCs w:val="18"/>
                  <w:u w:val="none"/>
                </w:rPr>
                <w:t>heparin</w:t>
              </w:r>
            </w:hyperlink>
            <w:r>
              <w:rPr>
                <w:sz w:val="18"/>
                <w:szCs w:val="18"/>
              </w:rPr>
              <w:t>+</w:t>
            </w:r>
            <w:hyperlink r:id="rId5" w:history="1">
              <w:r>
                <w:rPr>
                  <w:rStyle w:val="Kpr"/>
                  <w:color w:val="auto"/>
                  <w:sz w:val="18"/>
                  <w:szCs w:val="18"/>
                  <w:u w:val="none"/>
                </w:rPr>
                <w:t>extractum cepae</w:t>
              </w:r>
            </w:hyperlink>
            <w:r>
              <w:rPr>
                <w:sz w:val="18"/>
                <w:szCs w:val="18"/>
              </w:rPr>
              <w:t xml:space="preserve"> içeren kombine preparatlar</w:t>
            </w:r>
          </w:p>
        </w:tc>
        <w:tc>
          <w:tcPr>
            <w:tcW w:w="3906"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 xml:space="preserve">Plastik cerrahi veya çocuk cerrahisi uzman hekimlerince reçetelenir.  </w:t>
            </w:r>
          </w:p>
        </w:tc>
      </w:tr>
    </w:tbl>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ind w:firstLine="566"/>
        <w:rPr>
          <w:rFonts w:hAnsi="Times New Roman"/>
          <w:sz w:val="18"/>
          <w:szCs w:val="18"/>
        </w:rPr>
      </w:pPr>
      <w:r>
        <w:rPr>
          <w:rFonts w:hAnsi="Times New Roman"/>
          <w:sz w:val="18"/>
          <w:szCs w:val="18"/>
        </w:rPr>
        <w:t>ç) “Diğerleri” başlıklı (13) numaralı maddesinin (23) numaralı alt maddesi aşağıdaki şekilde değiştirilmiştir.</w:t>
      </w:r>
    </w:p>
    <w:p w:rsidR="006E556D" w:rsidRDefault="006E556D" w:rsidP="006E556D">
      <w:pPr>
        <w:pStyle w:val="3-NormalYaz"/>
        <w:spacing w:line="240" w:lineRule="exact"/>
        <w:jc w:val="center"/>
        <w:rPr>
          <w:rFonts w:hAnsi="Times New Roman"/>
          <w:sz w:val="18"/>
          <w:szCs w:val="18"/>
        </w:rPr>
      </w:pPr>
    </w:p>
    <w:tbl>
      <w:tblPr>
        <w:tblW w:w="8855"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851"/>
        <w:gridCol w:w="5409"/>
      </w:tblGrid>
      <w:tr w:rsidR="006E556D">
        <w:trPr>
          <w:cantSplit/>
          <w:trHeight w:val="2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outlineLvl w:val="6"/>
              <w:rPr>
                <w:sz w:val="18"/>
                <w:szCs w:val="18"/>
              </w:rPr>
            </w:pPr>
            <w:r>
              <w:rPr>
                <w:sz w:val="18"/>
                <w:szCs w:val="18"/>
              </w:rPr>
              <w:t>23</w:t>
            </w:r>
          </w:p>
        </w:tc>
        <w:tc>
          <w:tcPr>
            <w:tcW w:w="2851"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 xml:space="preserve">H.Pylori eradikasyon tedavi paketi </w:t>
            </w:r>
          </w:p>
        </w:tc>
        <w:tc>
          <w:tcPr>
            <w:tcW w:w="5409"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0" w:lineRule="atLeast"/>
              <w:jc w:val="both"/>
              <w:rPr>
                <w:sz w:val="18"/>
                <w:szCs w:val="18"/>
              </w:rPr>
            </w:pPr>
            <w:r>
              <w:rPr>
                <w:sz w:val="18"/>
                <w:szCs w:val="18"/>
              </w:rPr>
              <w:t>Yılda 14 günlük tedaviyi geçmeyecek şekilde iç hastalıkları ve genel cerrahi uzman hekimlerince reçetelenir (Levofloksasin etken maddesini içeren tedavi paketlerinde ayrıca antibiyogramla klaritromisin ve metronidazole direnç varlığını gösterir antibiyogram sonuç belgesinin tarih ve sonucunun e-reçete/e-raporda belirtilmesi koşulu ile).</w:t>
            </w:r>
          </w:p>
        </w:tc>
      </w:tr>
    </w:tbl>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ind w:firstLine="566"/>
        <w:rPr>
          <w:rFonts w:hAnsi="Times New Roman"/>
          <w:sz w:val="18"/>
          <w:szCs w:val="18"/>
        </w:rPr>
      </w:pPr>
      <w:r>
        <w:rPr>
          <w:rFonts w:hAnsi="Times New Roman"/>
          <w:sz w:val="18"/>
          <w:szCs w:val="18"/>
        </w:rPr>
        <w:t>d) “Diğerleri” başlıklı (13) numaralı maddesinin (26) numaralı alt maddesi aşağıdaki şekilde değiştirilmiştir.</w:t>
      </w:r>
    </w:p>
    <w:p w:rsidR="006E556D" w:rsidRDefault="006E556D" w:rsidP="006E556D">
      <w:pPr>
        <w:pStyle w:val="3-NormalYaz"/>
        <w:spacing w:line="240" w:lineRule="exact"/>
        <w:jc w:val="center"/>
        <w:rPr>
          <w:rFonts w:hAnsi="Times New Roman"/>
          <w:sz w:val="18"/>
          <w:szCs w:val="18"/>
        </w:rPr>
      </w:pPr>
    </w:p>
    <w:tbl>
      <w:tblPr>
        <w:tblW w:w="884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401"/>
        <w:gridCol w:w="4739"/>
      </w:tblGrid>
      <w:tr w:rsidR="006E556D">
        <w:trPr>
          <w:cantSplit/>
          <w:trHeight w:val="34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40" w:lineRule="exact"/>
              <w:outlineLvl w:val="6"/>
              <w:rPr>
                <w:sz w:val="18"/>
                <w:szCs w:val="18"/>
              </w:rPr>
            </w:pPr>
            <w:r>
              <w:rPr>
                <w:sz w:val="18"/>
                <w:szCs w:val="18"/>
              </w:rPr>
              <w:t>26</w:t>
            </w:r>
          </w:p>
        </w:tc>
        <w:tc>
          <w:tcPr>
            <w:tcW w:w="3401"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40" w:lineRule="exact"/>
              <w:jc w:val="both"/>
              <w:rPr>
                <w:sz w:val="18"/>
                <w:szCs w:val="18"/>
              </w:rPr>
            </w:pPr>
            <w:r>
              <w:rPr>
                <w:sz w:val="18"/>
                <w:szCs w:val="18"/>
              </w:rPr>
              <w:t xml:space="preserve">Doksofilin (kombinasyonları </w:t>
            </w:r>
            <w:proofErr w:type="gramStart"/>
            <w:r>
              <w:rPr>
                <w:sz w:val="18"/>
                <w:szCs w:val="18"/>
              </w:rPr>
              <w:t>dahil</w:t>
            </w:r>
            <w:proofErr w:type="gramEnd"/>
            <w:r>
              <w:rPr>
                <w:sz w:val="18"/>
                <w:szCs w:val="18"/>
              </w:rPr>
              <w:t>)</w:t>
            </w:r>
          </w:p>
        </w:tc>
        <w:tc>
          <w:tcPr>
            <w:tcW w:w="4739" w:type="dxa"/>
            <w:tcBorders>
              <w:top w:val="single" w:sz="4" w:space="0" w:color="auto"/>
              <w:left w:val="single" w:sz="4" w:space="0" w:color="auto"/>
              <w:bottom w:val="single" w:sz="4" w:space="0" w:color="auto"/>
              <w:right w:val="single" w:sz="4" w:space="0" w:color="auto"/>
            </w:tcBorders>
            <w:vAlign w:val="center"/>
            <w:hideMark/>
          </w:tcPr>
          <w:p w:rsidR="006E556D" w:rsidRDefault="006E556D">
            <w:pPr>
              <w:spacing w:line="240" w:lineRule="exact"/>
              <w:jc w:val="both"/>
              <w:rPr>
                <w:sz w:val="18"/>
                <w:szCs w:val="18"/>
              </w:rPr>
            </w:pPr>
            <w:r>
              <w:rPr>
                <w:sz w:val="18"/>
                <w:szCs w:val="18"/>
              </w:rPr>
              <w:t>Göğüs hastalıkları uzman hekimlerince reçetelenir.</w:t>
            </w:r>
          </w:p>
        </w:tc>
      </w:tr>
    </w:tbl>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Aynı Tebliğin eki “Sadece Yatan Hastalarda Kullanımı Halinde Bedelleri Ödenecek İlaçlar Listesi’ne (Ek-2/B) (54) ve (55) numaralı aşağıdaki maddeler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“54.Amantadin Sülfat İV Formları</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55. Risperidon ve paliperidonun parenteral formları (Psikiyatri uzman hekiminin bulunduğu sağlık kurulu raporuna dayanılarak yalnızca psikiyatri uzman hekimlerince reçete edilebilir.) ”</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Aynı Tebliğin eki “Ayakta Tedavide Sağlık Raporu (Uzman Hekim Raporu/Sağlık Kurulu Raporu) ile Verilebilecek İlaçlar Listesi” nde (Ek-2/C) aşağıdaki değişiklikler yapılmıştır.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a) (11) inci madde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“11.Palonosetron HCL (her kür için bir flakon), Granisetron, Ondansetron, Tropisetron”</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b) (50) nci madde aşağıdaki şekilde değiştirilmiştir.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lastRenderedPageBreak/>
        <w:t xml:space="preserve">“50. Amantadin Sülfat oral formları (İnfluenza A ya bağlı salgın olduğu durumlarda profilaktik olarak; 7 yaş altı ve 65 yaş üstü veya Risk gruplarında (HIV (+), malignite, DM </w:t>
      </w:r>
      <w:proofErr w:type="gramStart"/>
      <w:r>
        <w:rPr>
          <w:rFonts w:hAnsi="Times New Roman"/>
          <w:sz w:val="18"/>
          <w:szCs w:val="18"/>
        </w:rPr>
        <w:t>dahil</w:t>
      </w:r>
      <w:proofErr w:type="gramEnd"/>
      <w:r>
        <w:rPr>
          <w:rFonts w:hAnsi="Times New Roman"/>
          <w:sz w:val="18"/>
          <w:szCs w:val="18"/>
        </w:rPr>
        <w:t xml:space="preserve"> herhangi bir kronik metabolik hastalığı, kronik renal disfonksiyonu, hemoglobinopatisi veya immun yetmezliği olan veya immunsupresif tedavi alan erişkin ve çocuklar veya 6 ay-18 yaş arasında olan ve uzun süreli asetilsalisilik asit tedavisi alan çocuk ve adelosanlarda) bu hastalıkları belirtir ve grip aşısının yapılamadığı (kontrendike olduğu durumlar ile erken aşılamanın yapılamadığı durumlar) durumlarda, ilacın prospektüsünde tanımlanan kullanım süreleri de dikkate alınarak en fazla 6 ay süre ile geçerli sağlık kurulu raporuna istinaden uzman hekimler tarafından reçetelenmesi) (Parkinson endikasyonunda 6.2.36 maddesi esaslarına göre)”</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(55) numaralı madde olarak aşağıdaki düzenleme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“55. Deksametazon intravitreal İmplant </w:t>
      </w:r>
      <w:proofErr w:type="gramStart"/>
      <w:r>
        <w:rPr>
          <w:rFonts w:hAnsi="Times New Roman"/>
          <w:sz w:val="18"/>
          <w:szCs w:val="18"/>
        </w:rPr>
        <w:t>(</w:t>
      </w:r>
      <w:proofErr w:type="gramEnd"/>
      <w:r>
        <w:rPr>
          <w:rFonts w:hAnsi="Times New Roman"/>
          <w:sz w:val="18"/>
          <w:szCs w:val="18"/>
        </w:rPr>
        <w:t>Gözün posterior segmentinde kendisini non-infeksiyöz üveit şeklinde gösteren enflamasyonunda 3. basamak sağlık tesislerinde en az üç göz hastalıkları uzmanı tarafından düzenlenen 6 ay süreli sağlık kurulu raporuna dayanılarak göz hastalıkları uzmanlarınca reçetelenir. Her bir göz için yılda maksimum 2 uygulama yapılır.</w:t>
      </w:r>
      <w:proofErr w:type="gramStart"/>
      <w:r>
        <w:rPr>
          <w:rFonts w:hAnsi="Times New Roman"/>
          <w:sz w:val="18"/>
          <w:szCs w:val="18"/>
        </w:rPr>
        <w:t>)</w:t>
      </w:r>
      <w:proofErr w:type="gramEnd"/>
      <w:r>
        <w:rPr>
          <w:rFonts w:hAnsi="Times New Roman"/>
          <w:sz w:val="18"/>
          <w:szCs w:val="18"/>
        </w:rPr>
        <w:t xml:space="preserve"> </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ç) (56) numaralı madde olarak aşağıdaki düzenleme eklenmiştir.</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“56. Gliserol+sorbitol içeren laksatifler (Tetrapleji, hemipleji, parapleji ve spinal kord yaralanmalarına bağlı gastrointestinal fonksiyon bozukluğu durumlarında, gastroenteroloji ve nöroloji uzman hekimlerince veya bu hekimlerin birlikte yer aldığı sağlık kurulu raporuna dayanılarak tüm hekimlerce) ”</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Aynı Tebliğ eki “Fiyatlandırılmış Tıbbi Sarf Malzemeleri Listesi” nden (EK-5/A-1) çıkarılan tıbbi malzemeler bu Tebliğ eki (1) numaralı listede belirtilmiştir.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Aynı Tebliğ eki “Fiyatlandırılmış Tıbbi Sarf Malzemeleri Listesi” nden (EK-5/A-2) çıkarılan tıbbi malzemeler bu Tebliğ eki (2) numaralı listede belirtilmiştir.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Aynı Tebliğ eki “Göz Branşına Ait Tıbbi Malzeme Listesi” (EK-5/G) bu Tebliğ eki (3)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Aynı Tebliğ eki “Kardiyoloji Branşına Ait Tıbbi Malzeme Listesi” (EK-5/H) bu Tebliğ eki (4)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Aynı Tebliğ eki “Kalp Damar Cerrahisi Branşına Ait Tıbbi Malzeme Listesi” (EK-5/I) bu Tebliğ eki (5)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31 – </w:t>
      </w:r>
      <w:r>
        <w:rPr>
          <w:rFonts w:hAnsi="Times New Roman"/>
          <w:sz w:val="18"/>
          <w:szCs w:val="18"/>
        </w:rPr>
        <w:t>Aynı Tebliğ eki “Kulak Burun Boğaz Branşına Ait Tıbbi Malzeme Listesi” (EK-5/J) bu Tebliğ eki (6)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Aynı Tebliğ eki “Kadın Doğum Branşına Ait Tıbbi Malzeme Listesi” (EK-5/K) bu Tebliğ eki (7)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33 – </w:t>
      </w:r>
      <w:r>
        <w:rPr>
          <w:rFonts w:hAnsi="Times New Roman"/>
          <w:sz w:val="18"/>
          <w:szCs w:val="18"/>
        </w:rPr>
        <w:t>Aynı Tebliğ eki “Üroloji Branşına Ait Tıbbi Malzeme Listesi” (EK-5/L) bu Tebliğ eki (8)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Aynı Tebliğ eki “Radyoloji ve Girişimsel Radyoloji Branşına Ait Tıbbi Malzeme Listesi” (EK-5/M) bu Tebliğ eki (9) numaralı listede yer aldığı şekilde yeniden düzenlenmiştir.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Bu Tebliğin;</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a) 2 nci maddesi </w:t>
      </w:r>
      <w:proofErr w:type="gramStart"/>
      <w:r>
        <w:rPr>
          <w:rFonts w:hAnsi="Times New Roman"/>
          <w:sz w:val="18"/>
          <w:szCs w:val="18"/>
        </w:rPr>
        <w:t>1/2/2013</w:t>
      </w:r>
      <w:proofErr w:type="gramEnd"/>
      <w:r>
        <w:rPr>
          <w:rFonts w:hAnsi="Times New Roman"/>
          <w:sz w:val="18"/>
          <w:szCs w:val="18"/>
        </w:rPr>
        <w:t xml:space="preserve"> tarihinde,</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 xml:space="preserve">b) 22 ve 26 ila 34 üncü maddeleri </w:t>
      </w:r>
      <w:proofErr w:type="gramStart"/>
      <w:r>
        <w:rPr>
          <w:rFonts w:hAnsi="Times New Roman"/>
          <w:sz w:val="18"/>
          <w:szCs w:val="18"/>
        </w:rPr>
        <w:t>1/1/2013</w:t>
      </w:r>
      <w:proofErr w:type="gramEnd"/>
      <w:r>
        <w:rPr>
          <w:rFonts w:hAnsi="Times New Roman"/>
          <w:sz w:val="18"/>
          <w:szCs w:val="18"/>
        </w:rPr>
        <w:t xml:space="preserve"> tarihinde,</w:t>
      </w:r>
    </w:p>
    <w:p w:rsidR="006E556D" w:rsidRDefault="006E556D" w:rsidP="006E556D">
      <w:pPr>
        <w:pStyle w:val="3-NormalYaz"/>
        <w:spacing w:line="240" w:lineRule="exact"/>
        <w:ind w:firstLine="566"/>
        <w:rPr>
          <w:rFonts w:hAnsi="Times New Roman"/>
          <w:sz w:val="18"/>
          <w:szCs w:val="18"/>
        </w:rPr>
      </w:pPr>
      <w:r>
        <w:rPr>
          <w:rFonts w:hAnsi="Times New Roman"/>
          <w:sz w:val="18"/>
          <w:szCs w:val="18"/>
        </w:rPr>
        <w:t>c) Diğer maddeleri yayımı tarihinden 5 iş günü sonra,</w:t>
      </w:r>
    </w:p>
    <w:p w:rsidR="006E556D" w:rsidRDefault="006E556D" w:rsidP="006E556D">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6E556D" w:rsidRDefault="006E556D" w:rsidP="006E556D">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Bu Tebliğ hükümlerini Sosyal Güvenlik Kurumu Başkanı yürütür.</w:t>
      </w:r>
    </w:p>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jc w:val="center"/>
        <w:rPr>
          <w:rFonts w:hAnsi="Times New Roman"/>
          <w:sz w:val="18"/>
          <w:szCs w:val="18"/>
        </w:rPr>
      </w:pPr>
    </w:p>
    <w:p w:rsidR="006E556D" w:rsidRDefault="006E556D" w:rsidP="006E556D">
      <w:pPr>
        <w:pStyle w:val="3-NormalYaz"/>
        <w:spacing w:line="240" w:lineRule="exact"/>
        <w:jc w:val="left"/>
        <w:rPr>
          <w:rFonts w:hAnsi="Times New Roman"/>
          <w:b/>
          <w:bCs/>
          <w:sz w:val="18"/>
          <w:szCs w:val="18"/>
        </w:rPr>
      </w:pPr>
      <w:hyperlink r:id="rId6" w:history="1">
        <w:r>
          <w:rPr>
            <w:rStyle w:val="Kpr"/>
            <w:rFonts w:hAnsi="Times New Roman"/>
            <w:b/>
            <w:bCs/>
            <w:sz w:val="18"/>
            <w:szCs w:val="18"/>
            <w:u w:val="none"/>
          </w:rPr>
          <w:t>Listeler için tıklayınız.</w:t>
        </w:r>
      </w:hyperlink>
    </w:p>
    <w:p w:rsidR="006E556D" w:rsidRDefault="006E556D">
      <w:pPr>
        <w:rPr>
          <w:rFonts w:ascii="Times New Roman" w:hAnsi="Times New Roman" w:cs="Times New Roman"/>
          <w:b/>
          <w:sz w:val="20"/>
          <w:szCs w:val="20"/>
          <w:u w:val="single"/>
        </w:rPr>
      </w:pPr>
    </w:p>
    <w:sectPr w:rsidR="006E556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679A9"/>
    <w:rsid w:val="00085DDB"/>
    <w:rsid w:val="00120BB8"/>
    <w:rsid w:val="00192895"/>
    <w:rsid w:val="001A3B7D"/>
    <w:rsid w:val="001F4F88"/>
    <w:rsid w:val="00255D66"/>
    <w:rsid w:val="002B4AF0"/>
    <w:rsid w:val="00421AF3"/>
    <w:rsid w:val="0049683C"/>
    <w:rsid w:val="005D4E02"/>
    <w:rsid w:val="005E355C"/>
    <w:rsid w:val="00627628"/>
    <w:rsid w:val="006E556D"/>
    <w:rsid w:val="006F662A"/>
    <w:rsid w:val="0076633F"/>
    <w:rsid w:val="007716A4"/>
    <w:rsid w:val="007A478C"/>
    <w:rsid w:val="007B7523"/>
    <w:rsid w:val="007F4DB8"/>
    <w:rsid w:val="008D1728"/>
    <w:rsid w:val="008E6F06"/>
    <w:rsid w:val="008F7815"/>
    <w:rsid w:val="0093645D"/>
    <w:rsid w:val="009F1AA3"/>
    <w:rsid w:val="009F2D7D"/>
    <w:rsid w:val="00A973F8"/>
    <w:rsid w:val="00B1197C"/>
    <w:rsid w:val="00CA6EEC"/>
    <w:rsid w:val="00CF7B26"/>
    <w:rsid w:val="00D0464C"/>
    <w:rsid w:val="00D42B71"/>
    <w:rsid w:val="00D8790C"/>
    <w:rsid w:val="00DE6463"/>
    <w:rsid w:val="00E2042C"/>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3/01/20130110-18-1.rar" TargetMode="External"/><Relationship Id="rId5" Type="http://schemas.openxmlformats.org/officeDocument/2006/relationships/hyperlink" Target="unsaved://ThtmlViewer.htm/%5b1%5d27|3393|3|2" TargetMode="External"/><Relationship Id="rId4" Type="http://schemas.openxmlformats.org/officeDocument/2006/relationships/hyperlink" Target="unsaved://ThtmlViewer.htm/%5b1%5d27|711|0|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4210</Words>
  <Characters>24000</Characters>
  <Application>Microsoft Office Word</Application>
  <DocSecurity>0</DocSecurity>
  <Lines>200</Lines>
  <Paragraphs>56</Paragraphs>
  <ScaleCrop>false</ScaleCrop>
  <Company>TURMOB</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39</cp:revision>
  <cp:lastPrinted>2013-01-07T06:33:00Z</cp:lastPrinted>
  <dcterms:created xsi:type="dcterms:W3CDTF">2013-01-02T06:53:00Z</dcterms:created>
  <dcterms:modified xsi:type="dcterms:W3CDTF">2013-01-10T06:27:00Z</dcterms:modified>
</cp:coreProperties>
</file>