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C049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17 Ocak 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>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28531</w:t>
      </w:r>
      <w:proofErr w:type="gramEnd"/>
    </w:p>
    <w:tbl>
      <w:tblPr>
        <w:tblW w:w="8789" w:type="dxa"/>
        <w:jc w:val="center"/>
        <w:tblLook w:val="01E0"/>
      </w:tblPr>
      <w:tblGrid>
        <w:gridCol w:w="8789"/>
      </w:tblGrid>
      <w:tr w:rsidR="00AC0491" w:rsidRPr="00AC0491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8804C7" w:rsidRPr="008804C7" w:rsidRDefault="008804C7" w:rsidP="008804C7">
            <w:pPr>
              <w:tabs>
                <w:tab w:val="left" w:pos="566"/>
                <w:tab w:val="center" w:pos="354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b/>
                <w:sz w:val="18"/>
                <w:u w:val="single"/>
                <w:lang w:eastAsia="tr-TR"/>
              </w:rPr>
              <w:t xml:space="preserve">Karar </w:t>
            </w:r>
            <w:proofErr w:type="gramStart"/>
            <w:r w:rsidRPr="008804C7">
              <w:rPr>
                <w:rFonts w:ascii="Times New Roman" w:eastAsia="Times New Roman" w:hAnsi="Times New Roman" w:cs="Times New Roman"/>
                <w:b/>
                <w:sz w:val="18"/>
                <w:u w:val="single"/>
                <w:lang w:eastAsia="tr-TR"/>
              </w:rPr>
              <w:t>Sayısı : 2012</w:t>
            </w:r>
            <w:proofErr w:type="gramEnd"/>
            <w:r w:rsidRPr="008804C7">
              <w:rPr>
                <w:rFonts w:ascii="Times New Roman" w:eastAsia="Times New Roman" w:hAnsi="Times New Roman" w:cs="Times New Roman"/>
                <w:b/>
                <w:sz w:val="18"/>
                <w:u w:val="single"/>
                <w:lang w:eastAsia="tr-TR"/>
              </w:rPr>
              <w:t>/4096</w:t>
            </w:r>
          </w:p>
          <w:p w:rsidR="008804C7" w:rsidRPr="008804C7" w:rsidRDefault="008804C7" w:rsidP="008804C7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eastAsia="tr-TR"/>
              </w:rPr>
            </w:pPr>
          </w:p>
          <w:p w:rsidR="008804C7" w:rsidRPr="008804C7" w:rsidRDefault="008804C7" w:rsidP="008804C7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8"/>
                <w:lang w:eastAsia="tr-TR"/>
              </w:rPr>
              <w:t xml:space="preserve">Ekli “Serbest Avukatlardan Hizmet Satın Alınmasına İlişkin Usul ve Esaslar Hakkında </w:t>
            </w:r>
            <w:proofErr w:type="spellStart"/>
            <w:r w:rsidRPr="008804C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Yönetmelik”in</w:t>
            </w:r>
            <w:proofErr w:type="spellEnd"/>
            <w:r w:rsidRPr="008804C7">
              <w:rPr>
                <w:rFonts w:ascii="Times New Roman" w:eastAsia="Times New Roman" w:hAnsi="Times New Roman" w:cs="Times New Roman"/>
                <w:sz w:val="18"/>
                <w:lang w:eastAsia="tr-TR"/>
              </w:rPr>
              <w:t xml:space="preserve"> yürürlüğe konulması; Maliye Bakanlığının </w:t>
            </w:r>
            <w:proofErr w:type="gramStart"/>
            <w:r w:rsidRPr="008804C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14/11/2012</w:t>
            </w:r>
            <w:proofErr w:type="gramEnd"/>
            <w:r w:rsidRPr="008804C7">
              <w:rPr>
                <w:rFonts w:ascii="Times New Roman" w:eastAsia="Times New Roman" w:hAnsi="Times New Roman" w:cs="Times New Roman"/>
                <w:sz w:val="18"/>
                <w:lang w:eastAsia="tr-TR"/>
              </w:rPr>
              <w:t xml:space="preserve"> tarihli ve 28704 sayılı yazısı üzerine, 26/9/2011 tarihli ve 659 sayılı Kanun Hükmünde Kararnamenin 5 inci ve 16 </w:t>
            </w:r>
            <w:proofErr w:type="spellStart"/>
            <w:r w:rsidRPr="008804C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ncı</w:t>
            </w:r>
            <w:proofErr w:type="spellEnd"/>
            <w:r w:rsidRPr="008804C7">
              <w:rPr>
                <w:rFonts w:ascii="Times New Roman" w:eastAsia="Times New Roman" w:hAnsi="Times New Roman" w:cs="Times New Roman"/>
                <w:sz w:val="18"/>
                <w:lang w:eastAsia="tr-TR"/>
              </w:rPr>
              <w:t xml:space="preserve"> maddelerine göre, Bakanlar Kurulu’nca 24/12/2012 tarihinde kararlaştırılmıştır.</w:t>
            </w:r>
          </w:p>
          <w:p w:rsidR="008804C7" w:rsidRPr="008804C7" w:rsidRDefault="008804C7" w:rsidP="008804C7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eastAsia="tr-TR"/>
              </w:rPr>
            </w:pPr>
          </w:p>
          <w:p w:rsidR="008804C7" w:rsidRPr="008804C7" w:rsidRDefault="008804C7" w:rsidP="008804C7">
            <w:pPr>
              <w:tabs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b/>
                <w:sz w:val="14"/>
                <w:lang w:eastAsia="tr-TR"/>
              </w:rPr>
              <w:tab/>
              <w:t>Abdullah GÜL</w:t>
            </w:r>
          </w:p>
          <w:p w:rsidR="008804C7" w:rsidRPr="008804C7" w:rsidRDefault="008804C7" w:rsidP="008804C7">
            <w:pPr>
              <w:tabs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CUMHURBAŞKANI</w:t>
            </w:r>
          </w:p>
          <w:p w:rsidR="008804C7" w:rsidRPr="008804C7" w:rsidRDefault="008804C7" w:rsidP="008804C7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Recep Tayyip ERDOĞAN</w:t>
            </w:r>
          </w:p>
          <w:p w:rsidR="008804C7" w:rsidRPr="008804C7" w:rsidRDefault="008804C7" w:rsidP="008804C7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Başbakan</w:t>
            </w:r>
          </w:p>
          <w:p w:rsidR="008804C7" w:rsidRPr="008804C7" w:rsidRDefault="008804C7" w:rsidP="008804C7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B. ARINÇ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A. BABACAN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B. ATALAY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B. BOZDAĞ</w:t>
            </w:r>
          </w:p>
          <w:p w:rsidR="008804C7" w:rsidRPr="008804C7" w:rsidRDefault="008804C7" w:rsidP="008804C7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Başbakan Yardımcısı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Başbakan Yardımcısı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Başbakan Yardımcısı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Başbakan Yardımcısı</w:t>
            </w:r>
          </w:p>
          <w:p w:rsidR="008804C7" w:rsidRPr="008804C7" w:rsidRDefault="008804C7" w:rsidP="008804C7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S. ERGİN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F. ŞAHİN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E. BAĞIŞ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N. ERGÜN</w:t>
            </w:r>
          </w:p>
          <w:p w:rsidR="008804C7" w:rsidRPr="008804C7" w:rsidRDefault="008804C7" w:rsidP="008804C7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Adalet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 xml:space="preserve">Aile ve Sosyal Politikalar Bakanı 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Avrupa Birliği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Bilim, Sanayi ve Teknoloji Bakanı</w:t>
            </w:r>
          </w:p>
          <w:p w:rsidR="008804C7" w:rsidRPr="008804C7" w:rsidRDefault="008804C7" w:rsidP="008804C7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F. ÇELİK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E. BAYRAKTAR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A. DAVUTOĞLU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M. Z. ÇAĞLAYAN</w:t>
            </w:r>
          </w:p>
          <w:p w:rsidR="008804C7" w:rsidRPr="008804C7" w:rsidRDefault="008804C7" w:rsidP="008804C7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Çalışma ve Sosyal Güvenlik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Çevre ve Şehircilik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Dışişleri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Ekonomi Bakanı</w:t>
            </w:r>
          </w:p>
          <w:p w:rsidR="008804C7" w:rsidRPr="008804C7" w:rsidRDefault="008804C7" w:rsidP="008804C7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T. YILDIZ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S. KILIÇ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M. M. EKER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H. YAZICI</w:t>
            </w:r>
          </w:p>
          <w:p w:rsidR="008804C7" w:rsidRPr="008804C7" w:rsidRDefault="008804C7" w:rsidP="008804C7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Enerji ve Tabii Kaynaklar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Gençlik ve Spor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Gıda, Tarım ve Hayvancılık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Gümrük ve Ticaret Bakanı</w:t>
            </w:r>
          </w:p>
          <w:p w:rsidR="008804C7" w:rsidRPr="008804C7" w:rsidRDefault="008804C7" w:rsidP="008804C7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İ. N. ŞAHİN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C. YILMAZ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E. GÜNAY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M. ŞİMŞEK</w:t>
            </w:r>
          </w:p>
          <w:p w:rsidR="008804C7" w:rsidRPr="008804C7" w:rsidRDefault="008804C7" w:rsidP="008804C7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İçişleri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Kalkınma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Kültür ve Turizm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Maliye Bakanı</w:t>
            </w:r>
          </w:p>
          <w:p w:rsidR="008804C7" w:rsidRPr="008804C7" w:rsidRDefault="008804C7" w:rsidP="008804C7">
            <w:pPr>
              <w:tabs>
                <w:tab w:val="center" w:pos="1595"/>
                <w:tab w:val="center" w:pos="3891"/>
                <w:tab w:val="center" w:pos="623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Ö. DİNÇER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İ. YILMAZ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V. EROĞLU</w:t>
            </w:r>
          </w:p>
          <w:p w:rsidR="008804C7" w:rsidRPr="008804C7" w:rsidRDefault="008804C7" w:rsidP="008804C7">
            <w:pPr>
              <w:tabs>
                <w:tab w:val="center" w:pos="1595"/>
                <w:tab w:val="center" w:pos="3891"/>
                <w:tab w:val="center" w:pos="623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Milli Eğitim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Milli Savunma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Orman ve Su İşleri Bakanı</w:t>
            </w:r>
          </w:p>
          <w:p w:rsidR="008804C7" w:rsidRPr="008804C7" w:rsidRDefault="008804C7" w:rsidP="008804C7">
            <w:pPr>
              <w:tabs>
                <w:tab w:val="center" w:pos="2275"/>
                <w:tab w:val="center" w:pos="4615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R. AKDAĞ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B. YILDIRIM</w:t>
            </w:r>
          </w:p>
          <w:p w:rsidR="008804C7" w:rsidRPr="008804C7" w:rsidRDefault="008804C7" w:rsidP="008804C7">
            <w:pPr>
              <w:tabs>
                <w:tab w:val="center" w:pos="2275"/>
                <w:tab w:val="center" w:pos="461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Sağlık Bakanı</w:t>
            </w:r>
            <w:r w:rsidRPr="008804C7">
              <w:rPr>
                <w:rFonts w:ascii="Times New Roman" w:eastAsia="Times New Roman" w:hAnsi="Times New Roman" w:cs="Times New Roman"/>
                <w:sz w:val="14"/>
                <w:lang w:eastAsia="tr-TR"/>
              </w:rPr>
              <w:tab/>
              <w:t>Ulaştırma, Denizcilik ve Haberleşme Bakanı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</w:rPr>
            </w:pPr>
          </w:p>
          <w:p w:rsidR="008804C7" w:rsidRPr="008804C7" w:rsidRDefault="008804C7" w:rsidP="008804C7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9"/>
                <w:szCs w:val="20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SERBEST AVUKATLARDAN H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ZMET SATIN ALINMASINA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İŞ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</w:p>
          <w:p w:rsidR="008804C7" w:rsidRPr="008804C7" w:rsidRDefault="008804C7" w:rsidP="008804C7">
            <w:pPr>
              <w:spacing w:after="113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USUL VE ESASLAR HAKKINDA Y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</w:p>
          <w:p w:rsidR="008804C7" w:rsidRPr="008804C7" w:rsidRDefault="008804C7" w:rsidP="008804C7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8804C7" w:rsidRPr="008804C7" w:rsidRDefault="008804C7" w:rsidP="008804C7">
            <w:pPr>
              <w:spacing w:after="113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Ama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, Kapsam, Dayanak ve Tan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mlar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Ama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 kapsam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amac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; genel b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 kapsam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ndaki kamu idareleri ve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zel b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eli idareler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ulusal ve uluslararas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yarg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mercileri ile tahkim davalar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nda,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nacak serbest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nitelikleri,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revleri, sorumluluklar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 mali haklar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takip ve denetimine ili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kin usul ve esaslar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belirlemektir.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Dayanak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netmelik,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26/9/2011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659 say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Genel B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 Kapsam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ndaki Kamu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dareleri ve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zel B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eli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darelerde Hukuk Hizmetlerinin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lmesine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kin Kanun H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nde Kararnamenin 5 inci ve 16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maddelerine dayan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larak haz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rlanm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Tan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mlar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uygulanmas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nda;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a) Bakan: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darelerin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 ilgili veya ili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kili oldu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u bakan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ksek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Kurulu ile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me, Se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ve Yerle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tirme Merkezi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niversiteler ve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ksek teknoloji enstit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leri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Milli 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itim Bakan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Birim: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darelerin merkez birimlerini,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c) Birim amiri: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lgili idarenin birim amirini,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Hukuk birimi: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darelerde hukuk hizmetlerini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ten birimi,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d) Hukuk birim amiri: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darelerin merkez te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kilat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ndaki hukuk biriminin amirini,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e) Koordinasyon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revi: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darelerce birden fazla yer ve b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lgede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hizmeti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durumunda,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nacak serbest avukatlarla idare aras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ndaki koordinasyonu sa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lamak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zere hukuk birimlerinde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revli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avukat veya hukuk 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avirlerine verilecek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revi,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f) Serbest avukat: Bu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kapsam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kendisinden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nan ve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19/3/1969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1136 say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Kanununa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 serbest meslek kapsam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faaliyet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ten avukat veya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ortakl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yabanc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avukat ve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ortakl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g)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bedeli: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lacak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niteli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ine ve kapsam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mede belirlenecek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creti,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st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netici: Milli Savunma Bakanl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Bakan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 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 bakanl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klarda 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ste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kamu idarelerinde en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st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neticiyi,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h)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Vekalet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creti: Mahkemeler, hakemler veya icra daireleri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idare lehine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Asgari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cret Tarifesine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 belirlenen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creti,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ifade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eder.</w:t>
            </w:r>
          </w:p>
          <w:p w:rsidR="008804C7" w:rsidRPr="008804C7" w:rsidRDefault="008804C7" w:rsidP="008804C7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8804C7" w:rsidRPr="008804C7" w:rsidRDefault="008804C7" w:rsidP="008804C7">
            <w:pPr>
              <w:spacing w:after="5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Avukatl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 Hizmeti Sat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nmas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Avukatl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 hizmeti sat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nacak haller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dareler,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muhakemat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hizmetlerini kendi hukuk birimlerinden, bakanl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veya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kurulu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ve Maliye Bakanl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temin edemedi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ya da hizmetin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zel uzmanl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gerektirdi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ilgili bakan onay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belirlendi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hallerde, serbest avukatlardan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alabilir.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(2) Hizmet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konusu bir veya birden fazla dava ve icra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inin takip ve sonu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land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olabilece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gibi belirli bir yerdeki dava ve icra takiplerinin belirli bir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reyle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lmesi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 olabilir.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Do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rudan temin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Muhakemat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hizmetlerini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tmek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zere hizmet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4/1/2002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4734 say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Kamu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hale Kanununun 22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(g) ve (h) bentlerine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 do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rudan temin usul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yle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Aranacak nitelikler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(1) 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rk ve yabanc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uyruklu serbest avukatlarda 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artlar aran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r: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a) Staj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resi hari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en az be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 fiilen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yapm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b) Baroya kay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c) Baro disiplin kurulunca son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lda verilmi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uyarma cezas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ceza almam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) Serbest avukat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kendisi, 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i, alt veya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st soyu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ndan,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alacak idare aleyhine hizmet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konusu ile ilgili olarak son iki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lda dava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nmam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 veya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alacak idare aleyhine derdest davas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bulunmamak.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d)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darece belirlenecek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zel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mak.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stenilecek belgeler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Serbest avukatlardan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vuru esnas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 belirtilen belgeler istenir: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a) 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kimlik numaras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eren yaz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dilek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b)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ruhsatnamesinin tasdikli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c)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ortakl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lacak 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racaatlarda baro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ortakl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sicil belgesi.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) Vergi levhas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d) Barodan son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lda uyarma 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disiplin cezas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almad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dair belge.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e)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ki adet vesikal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foto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raf.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f) Yabanc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n, barolar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ald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avukat olduklar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resini tevsik eden belgenin noter onayl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terc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mesi.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Hizmet sat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alma komisyonu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alma komisyonu,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st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neticinin onay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biri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kan olmak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ilgili idareden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 hukuk biriminden iki ki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olacak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ekilde en az be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iden te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ekk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 eder.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st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netici,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onayda ayn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zamanda harcama yetkilisini de belirler.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st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netici, bu yetkisini yaz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 ve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 belirtmek kayd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yla alt kademelere devredebilir.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(3) Komisyon,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nacak en az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serbest avukata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nacak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mahiyetini belirten bir davetiye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ndererek tekliflerin bildirilmesi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onbe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 verir.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(4) Komisyon tekliflerin de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erlendirilmesi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eksiksiz olarak toplan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 ve kararlar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o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unlukla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Kararlarda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ekimser kal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namaz. Kar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oy kullanan komisyon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yeleri, kar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oy gerek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elerini karara yazmak ve imzalamak zorundad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 Komisyonca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nan kararlar ve 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tutanaklar; komisyon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kan ve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yelerinin adlar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 soyadlar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rev unvanlar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belirtilerek imzalan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 Komisyon, tekliflerin incelenmesi sonucunda aran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lan nitelikleri ta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tespit edilen serbest avukatlar aras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yapaca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sonucunda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nacak serbest avukat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belirler ve bu konudaki karar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harcama yetkilisinin onay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sunar.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meye davet ve s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menin imzalanmas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9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Harcama yetkilisinin onay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zerine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karar verilen serbest avukat idarece belirlenecek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inde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 yapmak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zere davet edilir. Belirlenen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imzalamayanlar,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yapma hakk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(2)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kin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idare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haz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 ve idare 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ilgili harcama yetkilisi ile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nan serbest avukat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imzalan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Temsil belgesi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10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Avukatlara kendilerine verilen dava ve icra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lemlerinin takibiyle ilgili olarak idareyi temsil etmek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zere temsil belgesi verilir.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Ki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isel dosya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11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Serbest avukatlar hakk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ilgili hukuk birimi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performans de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erlendirmesine esas olmak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zere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meye istinaden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lan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lerle ilgili olarak dosya tutulur.</w:t>
            </w:r>
          </w:p>
          <w:p w:rsidR="008804C7" w:rsidRPr="008804C7" w:rsidRDefault="008804C7" w:rsidP="008804C7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ÜÇÜ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8804C7" w:rsidRPr="008804C7" w:rsidRDefault="008804C7" w:rsidP="008804C7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revler, Sorumluluklar ve Yasaklar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revler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12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Serbest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revleri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unlard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r: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a) Kendisine verilen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leri bizzat takip etmek.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b)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menin kapsam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resi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inde kendisine tevdi edilen dosya ile ilgili olarak her 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hukuki tedbiri almak ve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geciktirmeden yasal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lemlere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lamak, tahkim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dahil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her 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davalar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mak, 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lan davalara cevap vermek, icra takiplerini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latmak, dava ve icra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lerini takip etmek, duru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malara kat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lmak, aleyhe kararlar hakk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her 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yollar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vurmak, tahkim davalar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iptal davas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mak ve takip etmek, kararlar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infaz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lamak.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c)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menin imzalanmas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teakip en ge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hafta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inde dosyalar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dava ve icra takibine konu belgeleri zimmet kar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teslim almak ve hukuki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reci tamamlanan dosyalar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zimmet kar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ilgili birime teslim etmek.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) Talep halinde takip ettikleri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lerin mevcut durumlar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ilgili birime rapor vermek.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d) Mevzuat ile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melerinde belirtilen esaslara uymak.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(2) Serbest avukat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reve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lama tarihi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mede aksi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lmemi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ise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menin imza tarihidir.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dare aleyhine verilen kararlar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kanun yoluna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vuruda idare yarar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bulunmad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üşü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lmesi halinde; dosya, vazge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gerek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eleri ile karar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tebli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tefhim tarihi de belirtilmek ve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lacak inceleme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ge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ecek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 de dikkate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nmak suretiyle, serbest avukat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idarenin merkez hukuk birimine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nderilir.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(4) Serbest avukatlar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takip edilen davalarda, davan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zelli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nedeniyle hukuk birimlerince gerek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takdirde ke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if, duru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ma ve Yarg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tay murafaalar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hukuk birim amirinin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revlendirece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hukuk 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aviri ve kadrolu avukatlar veya talep halinde Maliye Bakanl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revlendirilecek Hazine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 kat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labilir.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Sorumluluklar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13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Serbest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sorumluluklar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unlard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r: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a) Teslim edilen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leri, idarenin tabi oldu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u mevzuat ve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h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mlerine,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Kanununa, meslek kurallar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ve 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 mevzuat h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mlerine uygun olarak takip etmek.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darenin hak ve menfaatlerini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ncelikle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zetmek.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c) Takip ettikleri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leri, dava ve icra esas defterine kaydedilmek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zere ilgili birime derhal bildirmek, dava ve icra takipleri ile ilgili dilek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elerin, duru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ma ve ke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if zab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n, bilirki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raporlar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n, mahkeme ilamlar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n, temyiz dilek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elerinin,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ksek yarg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kararlar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ve ilgili 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 belgelerin birer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ini en 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sa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rede ilgili birime veya hukuk birimine vermek.</w:t>
            </w:r>
            <w:proofErr w:type="gramEnd"/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) Dava ve icra takibi ile ilgili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lemleri gecikmeye yer vermeden,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resinde yerine getirmek.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d)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menin sona ermesi halinde; takip ettikleri dava ve icra dosyalar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kendilerine teslim edilmi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 evrak ve belge 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birlikte varsa gerekli hukuki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lemleri de tekemm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 ettirmek suretiyle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sona erme tarihinden itibaren on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inde ilgili birime zimmet kar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teslim etmek ve ald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avans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teslim tarihinden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nce idareye iade etmek.</w:t>
            </w:r>
            <w:proofErr w:type="gramEnd"/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e) Dava ve icra dosyalar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zenli olarak tutmak, gelen ve giden evrak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 ve muhafaza etmek.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f) Dosyalar ve 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ler geri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ncaya kadar ellerindeki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leri takip etmek.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(2) Serbest avukatlar, idareleri vekil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fat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yla temsile yetkili olan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revlilerle ayn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yetki ve sorumluluklar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haizdir. Kusurlar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nedeniyle do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acak her 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sorumluluk kendilerine ait olup mevzuattan ve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meden kaynaklanan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klerini hi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gere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gibi yerine getirmedikleri takdirde genel h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mler uyar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nca idareye kar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sorumludur.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(3) Davan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idare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birlikte takibi,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nan serbest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sorumlulu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unu azaltmaz ve ortadan kald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rmaz.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Yasaklar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14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Serbest avukatlara ili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yasaklar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unlard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r: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a)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darece takip edilmekte olan dava ve icra takipleri ile idarenin taraf oldu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u konularda meydana gelecek uyu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mazl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klarda kar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manl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yapmak,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bildirmek ve her ne nam alt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olursa olsun kar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temsil etmek.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b) Do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rudan ya da dolayl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 konusu hizmetler ile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kar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yaratabilecek herhangi bir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ticari veya mesleki faaliyette bulunmak.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c)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konusu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ifas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ve sonras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nda; bu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nedeniyle edinmi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idareye ait bilgilerden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9/10/2003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4982 say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 Edinme Hakk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nde 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nitelikteki bilgiler ile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Kanununun 36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maddesinde 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nitelikteki bilgileri 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klamak.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4/1/1961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213 say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Vergi Usul Kanununun 5 inci maddesi ile 21/7/1953 tarihli ve 6183 say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Amme Alacaklar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Tahsil Usul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Kanunun 107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maddesinde yer alan yasaklara uymamak.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d)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konusu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olarak idare 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tahsilat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yapmak.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dare lehine sonu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lanan davalarda kar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 icra dairesi 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lmak istenilmesi halinde, hizmet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nan serbest avukat idarenin belirleyece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vezne veya banka hesab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lamak ve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demeye ili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makbuz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ini ivedilikle idareye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ndermek zorundad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(3) Bu madde h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mleri serbest avukatla ayn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b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rosunda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an 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 avukatlar hakk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da uygulan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804C7" w:rsidRPr="008804C7" w:rsidRDefault="008804C7" w:rsidP="008804C7">
            <w:pPr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RD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8804C7" w:rsidRPr="008804C7" w:rsidRDefault="008804C7" w:rsidP="008804C7">
            <w:pPr>
              <w:spacing w:after="5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melerin S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resi, Denetim ve Fesih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melerin s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resi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15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resi,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mede aksi belirtilmedi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rece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lan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 Taraflar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niteli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meyi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reli olarak da yapabilirler.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(2)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netmelik ekinde yer alan Serbest Avukata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kin Performans De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Tablosu (Ek-1),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bitim tarihinden itibaren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onbe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inde ilgili birim amiri ve koordinasyonla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revli avukat veya hukuk 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aviri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ayr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ayr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doldurularak hukuk birim amirine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nderilir.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(3) Serbest avukatla yeni bir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p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lmayaca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dair teklif, Serbest Avukata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kin Performans De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Tablosuna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 tespit edilen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 ile birim amiri ve koordinasyonla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revli avukat veya hukuk 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avirinin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üşü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nmak suretiyle hukuk birim amiri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alma komisyonuna sunulur.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Denetim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16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Serbest avukatlar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takip edilen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ler, ilgili idarenin hukuk birimi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her zaman denetlenebilir.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(2) Serbest avukatlar denetim esnas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kendisinden istenilen bilgi ve belgeleri denetimle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revli ki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ilere vermek zorundad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(3) Hukuk birimi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lan denetim sonu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ilgili idarenin birim amirine rapor halinde sunulur.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(4)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lan denetim sonucunda yasaklara ayk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davran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tespit edilen avukatlar hakk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17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ve genel h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mler uyar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nca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lem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menin feshi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17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Serbest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meleri;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a)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nan serbest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n, aran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lan nitelikleri ta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sonradan anla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bu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artlardan herhangi birini sonradan kaybetmeleri,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b)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menin uygulanmas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nda,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5/1/2002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4735 say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Kamu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hale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meleri Kanununun 25 inci maddesinde belirtilen yasak fiil ve davran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larda bulunuldu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unun tespit edilmesi,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c) Mazeretsiz olarak duru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malara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nmamas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nedeniyle davan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idare aleyhine sonu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veya davan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karar verilmesi suretiyle hak kayb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neden olunmas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) Kanuni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relere uymayarak davan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veya alaca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zamana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 dava ve icra dosyalar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 yollar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vuru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relerine uyulmamas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 idare aleyhine sonu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do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uracak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nemli hatalar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tespiti ve idare 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haricen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tahsilat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d) Hizmet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mesinde belirtilen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klerin yerine getirilmemesi,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e) Bu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netmelikte belirtilen yasaklara uyulmamas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f)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darenin hak ve menfaatlerinin korunmas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hususunda ihmal ve kusurlar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bulunmas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hallerinde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idare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do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rudan veya ilgili birimin talebi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zerine hi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bir ihtar ve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reye tabi olmaks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tek tarafl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feshedilir ve idarenin 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zarar tazmin ettirilir.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Taraflar, bir ay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nceden yaz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bildirimde bulunmak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art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yla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meyi her zaman feshedebilirler.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(3) Birinci 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krada belirtilen nedenlerle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mesi feshedilen serbest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kimlik bilgileri idare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 kamu kurum ve kurulu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nca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lacak ara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rmaya esas olmak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zere,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bakanl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Hukuk Hizmetleri Ba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bildirilir.</w:t>
            </w:r>
          </w:p>
          <w:p w:rsidR="008804C7" w:rsidRPr="008804C7" w:rsidRDefault="008804C7" w:rsidP="008804C7">
            <w:pPr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BE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8804C7" w:rsidRPr="008804C7" w:rsidRDefault="008804C7" w:rsidP="008804C7">
            <w:pPr>
              <w:spacing w:after="5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Mali H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mler ile Di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er H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mler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me bedeli ve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vekalet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creti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18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bedelinin dava 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amalar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esas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nmak suretiyle kademeli olarak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denmesi esast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bedeli;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lacak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 niteli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i, kapsam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resi dikkate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narak belirlenir ve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denecek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cret,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denme zaman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ekline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mede yer verilir.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(2)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 konusu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 alacak, faiz ve yarg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lama gideri gibi idare alacaklar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tamamen tahsil edildikten sonra taraflarca ayr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ca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mede kararla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hakemler, mahkemeler veya icra dairelerince idare lehine h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kmedilip tahsil edilen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vekalet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creti serbest avukata, mevzuat gere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ince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gereken kesintiler 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üşü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kten sonra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denir.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(3) Serbest avukatlara, avukatl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 ortakl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 ve bunlar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yan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hizmet akdi ile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an avukatlara ayr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ayr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lamaz. Hizmet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mesine istinaden idare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tek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(4) Serbest avukat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takip edilen dava veya icra takibinin,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nan idarede istihdam edilen avukatlar veya Maliye Bakanl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hizmet talebi suretiyle Hazine avukat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birlikte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lmesi halinde,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vekalet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creti da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 oran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sarf etti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emek ve takip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resi dikkate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narak idarenin hukuk birimince belirlenir.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n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deme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19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Serbest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talep etmesi halinde, </w:t>
            </w:r>
            <w:proofErr w:type="gram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10/12/2003</w:t>
            </w:r>
            <w:proofErr w:type="gram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5018 say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Kamu Mal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netimi ve Kontrol Kanununun 35 inci maddesine uygun olarak dava ve icra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lerinin gerektirdi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mahkeme gider ve har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lamak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zere, idare veya ilgili birim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30/12/2005 tarihli ve 2005/9913 say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Bakanlar Kurulu Karar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 konulan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deme Usul ve Esaslar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mlerine uygun olarak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 ve mahsup edilir.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Adres bildirme ve tebligat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20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Taraflar hizmet sat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alma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mesinde bildirdikleri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yeri, yerle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im yeri ve elektronik posta adresleri ile telefon ve faks numaralar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ndaki de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iklikleri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inde kar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tarafa bildirmek zorundad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 Adres de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ikli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inin bildirilmemesi halinde s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medeki adresler ge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erli kabul edilir.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dare taraf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lacak tebligatlar avukatlar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 idareye bildirdi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i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yeri adreslerine, idareye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lacak tebligatlar ise ilgili birim adreslerine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H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 bulunmayan haller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21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(1) Bu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netmelikte h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 bulunmayan hallerde genel h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mlere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lem yap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rl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22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proofErr w:type="spellStart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Say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spellEnd"/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üşü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narak haz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rlanan bu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yay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e girer.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tme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23 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804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(1) Bu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mlerini Bakanlar Kurulu y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804C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804C7" w:rsidRPr="008804C7" w:rsidRDefault="008804C7" w:rsidP="008804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p w:rsidR="008804C7" w:rsidRPr="008804C7" w:rsidRDefault="008804C7" w:rsidP="008804C7">
            <w:pPr>
              <w:tabs>
                <w:tab w:val="left" w:pos="13608"/>
                <w:tab w:val="left" w:pos="13750"/>
              </w:tabs>
              <w:spacing w:before="100" w:beforeAutospacing="1" w:after="100" w:afterAutospacing="1" w:line="240" w:lineRule="exac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tr-TR"/>
              </w:rPr>
              <w:t>SERBEST AVUKATA İLİŞKİN PERFORMANS DEĞERLENDİRME TABLOSU (EK-1)</w:t>
            </w:r>
          </w:p>
          <w:p w:rsidR="008804C7" w:rsidRPr="008804C7" w:rsidRDefault="008804C7" w:rsidP="008804C7">
            <w:pPr>
              <w:tabs>
                <w:tab w:val="left" w:pos="28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tr-TR"/>
              </w:rPr>
            </w:pPr>
          </w:p>
          <w:tbl>
            <w:tblPr>
              <w:tblW w:w="850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758"/>
              <w:gridCol w:w="5747"/>
            </w:tblGrid>
            <w:tr w:rsidR="008804C7" w:rsidRPr="008804C7">
              <w:trPr>
                <w:trHeight w:val="20"/>
                <w:jc w:val="center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8804C7" w:rsidRPr="008804C7" w:rsidRDefault="008804C7" w:rsidP="008804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sz w:val="18"/>
                      <w:szCs w:val="18"/>
                      <w:lang w:eastAsia="tr-TR"/>
                    </w:rPr>
                  </w:pPr>
                  <w:r w:rsidRPr="008804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SERBEST</w:t>
                  </w:r>
                  <w:r w:rsidRPr="008804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8804C7"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sz w:val="18"/>
                      <w:szCs w:val="18"/>
                      <w:lang w:eastAsia="tr-TR"/>
                    </w:rPr>
                    <w:t xml:space="preserve">AVUKATIN KİMLİK </w:t>
                  </w:r>
                </w:p>
                <w:p w:rsidR="008804C7" w:rsidRPr="008804C7" w:rsidRDefault="008804C7" w:rsidP="008804C7">
                  <w:pPr>
                    <w:spacing w:before="100" w:beforeAutospacing="1" w:after="100" w:afterAutospacing="1" w:line="2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804C7"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sz w:val="18"/>
                      <w:szCs w:val="18"/>
                      <w:lang w:eastAsia="tr-TR"/>
                    </w:rPr>
                    <w:t>BİLGİLERİ</w:t>
                  </w:r>
                </w:p>
              </w:tc>
              <w:tc>
                <w:tcPr>
                  <w:tcW w:w="9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after="0" w:line="240" w:lineRule="exact"/>
                    <w:jc w:val="both"/>
                    <w:rPr>
                      <w:rFonts w:ascii="Times New Roman" w:eastAsia="Arial Unicode MS" w:hAnsi="Times New Roman" w:cs="Times New Roman"/>
                      <w:sz w:val="2"/>
                      <w:szCs w:val="18"/>
                      <w:lang w:eastAsia="tr-TR"/>
                    </w:rPr>
                  </w:pPr>
                </w:p>
              </w:tc>
            </w:tr>
            <w:tr w:rsidR="008804C7" w:rsidRPr="008804C7">
              <w:trPr>
                <w:trHeight w:val="20"/>
                <w:jc w:val="center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before="100" w:beforeAutospacing="1" w:after="100" w:afterAutospacing="1" w:line="240" w:lineRule="exact"/>
                    <w:ind w:left="60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sz w:val="18"/>
                      <w:szCs w:val="18"/>
                      <w:lang w:eastAsia="tr-TR"/>
                    </w:rPr>
                  </w:pPr>
                </w:p>
                <w:p w:rsidR="008804C7" w:rsidRPr="008804C7" w:rsidRDefault="008804C7" w:rsidP="008804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sz w:val="18"/>
                      <w:szCs w:val="18"/>
                      <w:lang w:eastAsia="tr-TR"/>
                    </w:rPr>
                  </w:pPr>
                  <w:r w:rsidRPr="008804C7"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sz w:val="18"/>
                      <w:szCs w:val="18"/>
                      <w:lang w:eastAsia="tr-TR"/>
                    </w:rPr>
                    <w:t>GÖRÜŞLER</w:t>
                  </w:r>
                </w:p>
                <w:p w:rsidR="008804C7" w:rsidRPr="008804C7" w:rsidRDefault="008804C7" w:rsidP="008804C7">
                  <w:pPr>
                    <w:spacing w:before="100" w:beforeAutospacing="1" w:after="100" w:afterAutospacing="1" w:line="2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5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after="0" w:line="240" w:lineRule="exact"/>
                    <w:jc w:val="both"/>
                    <w:rPr>
                      <w:rFonts w:ascii="Times New Roman" w:eastAsia="Arial Unicode MS" w:hAnsi="Times New Roman" w:cs="Times New Roman"/>
                      <w:sz w:val="2"/>
                      <w:szCs w:val="18"/>
                      <w:lang w:eastAsia="tr-TR"/>
                    </w:rPr>
                  </w:pPr>
                </w:p>
              </w:tc>
            </w:tr>
            <w:tr w:rsidR="008804C7" w:rsidRPr="008804C7">
              <w:trPr>
                <w:trHeight w:val="20"/>
                <w:jc w:val="center"/>
              </w:trPr>
              <w:tc>
                <w:tcPr>
                  <w:tcW w:w="38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before="100" w:beforeAutospacing="1" w:after="100" w:afterAutospacing="1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804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Görev ve yetki alanına giren </w:t>
                  </w:r>
                  <w:proofErr w:type="gramStart"/>
                  <w:r w:rsidRPr="008804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işleri   zamanında</w:t>
                  </w:r>
                  <w:proofErr w:type="gramEnd"/>
                  <w:r w:rsidRPr="008804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takip edip sonuçlandırma     alışkanlığı.</w:t>
                  </w:r>
                </w:p>
                <w:p w:rsidR="008804C7" w:rsidRPr="008804C7" w:rsidRDefault="008804C7" w:rsidP="008804C7">
                  <w:pPr>
                    <w:spacing w:before="100" w:beforeAutospacing="1" w:after="100" w:afterAutospacing="1" w:line="20" w:lineRule="atLeas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after="0" w:line="240" w:lineRule="exact"/>
                    <w:jc w:val="both"/>
                    <w:rPr>
                      <w:rFonts w:ascii="Times New Roman" w:eastAsia="Arial Unicode MS" w:hAnsi="Times New Roman" w:cs="Times New Roman"/>
                      <w:sz w:val="2"/>
                      <w:szCs w:val="18"/>
                      <w:lang w:eastAsia="tr-TR"/>
                    </w:rPr>
                  </w:pPr>
                </w:p>
              </w:tc>
            </w:tr>
            <w:tr w:rsidR="008804C7" w:rsidRPr="008804C7">
              <w:trPr>
                <w:trHeight w:val="20"/>
                <w:jc w:val="center"/>
              </w:trPr>
              <w:tc>
                <w:tcPr>
                  <w:tcW w:w="38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8804C7" w:rsidRPr="008804C7" w:rsidRDefault="008804C7" w:rsidP="008804C7">
                  <w:pPr>
                    <w:spacing w:before="100" w:beforeAutospacing="1" w:after="100" w:afterAutospacing="1" w:line="20" w:lineRule="atLeas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804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İdare için hak kaybına neden olacak herhangi bir kusurunun olup olmadığı (süre kaçırma, dava düşürme, ara kararını yerine getirmeme gibi).</w:t>
                  </w:r>
                </w:p>
              </w:tc>
              <w:tc>
                <w:tcPr>
                  <w:tcW w:w="9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after="0" w:line="240" w:lineRule="exact"/>
                    <w:jc w:val="both"/>
                    <w:rPr>
                      <w:rFonts w:ascii="Times New Roman" w:eastAsia="Arial Unicode MS" w:hAnsi="Times New Roman" w:cs="Times New Roman"/>
                      <w:sz w:val="2"/>
                      <w:szCs w:val="18"/>
                      <w:lang w:eastAsia="tr-TR"/>
                    </w:rPr>
                  </w:pPr>
                </w:p>
              </w:tc>
            </w:tr>
            <w:tr w:rsidR="008804C7" w:rsidRPr="008804C7">
              <w:trPr>
                <w:trHeight w:val="20"/>
                <w:jc w:val="center"/>
              </w:trPr>
              <w:tc>
                <w:tcPr>
                  <w:tcW w:w="38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804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:rsidR="008804C7" w:rsidRPr="008804C7" w:rsidRDefault="008804C7" w:rsidP="008804C7">
                  <w:pPr>
                    <w:spacing w:before="100" w:beforeAutospacing="1" w:after="100" w:afterAutospacing="1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8804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İdareyle olan ilişkileri.</w:t>
                  </w:r>
                  <w:proofErr w:type="gramEnd"/>
                </w:p>
                <w:p w:rsidR="008804C7" w:rsidRPr="008804C7" w:rsidRDefault="008804C7" w:rsidP="008804C7">
                  <w:pPr>
                    <w:spacing w:before="100" w:beforeAutospacing="1" w:after="100" w:afterAutospacing="1" w:line="20" w:lineRule="atLeas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after="0" w:line="240" w:lineRule="exact"/>
                    <w:jc w:val="both"/>
                    <w:rPr>
                      <w:rFonts w:ascii="Times New Roman" w:eastAsia="Arial Unicode MS" w:hAnsi="Times New Roman" w:cs="Times New Roman"/>
                      <w:sz w:val="2"/>
                      <w:szCs w:val="18"/>
                      <w:lang w:eastAsia="tr-TR"/>
                    </w:rPr>
                  </w:pPr>
                </w:p>
              </w:tc>
            </w:tr>
            <w:tr w:rsidR="008804C7" w:rsidRPr="008804C7">
              <w:trPr>
                <w:trHeight w:val="20"/>
                <w:jc w:val="center"/>
              </w:trPr>
              <w:tc>
                <w:tcPr>
                  <w:tcW w:w="38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before="100" w:beforeAutospacing="1" w:after="100" w:afterAutospacing="1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804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İdare adına takip edilen işlerin sonuçlarını zamanında kuruma bildirip bildirmediği.</w:t>
                  </w:r>
                </w:p>
                <w:p w:rsidR="008804C7" w:rsidRPr="008804C7" w:rsidRDefault="008804C7" w:rsidP="008804C7">
                  <w:pPr>
                    <w:spacing w:before="100" w:beforeAutospacing="1" w:after="100" w:afterAutospacing="1" w:line="20" w:lineRule="atLeas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after="0" w:line="240" w:lineRule="exact"/>
                    <w:jc w:val="both"/>
                    <w:rPr>
                      <w:rFonts w:ascii="Times New Roman" w:eastAsia="Arial Unicode MS" w:hAnsi="Times New Roman" w:cs="Times New Roman"/>
                      <w:sz w:val="2"/>
                      <w:szCs w:val="18"/>
                      <w:lang w:eastAsia="tr-TR"/>
                    </w:rPr>
                  </w:pPr>
                </w:p>
              </w:tc>
            </w:tr>
            <w:tr w:rsidR="008804C7" w:rsidRPr="008804C7">
              <w:trPr>
                <w:trHeight w:val="20"/>
                <w:jc w:val="center"/>
              </w:trPr>
              <w:tc>
                <w:tcPr>
                  <w:tcW w:w="38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before="100" w:beforeAutospacing="1" w:after="100" w:afterAutospacing="1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804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Yeni bir sözleşme yapılması konusundaki görüş ve öneriler.</w:t>
                  </w:r>
                </w:p>
                <w:p w:rsidR="008804C7" w:rsidRPr="008804C7" w:rsidRDefault="008804C7" w:rsidP="008804C7">
                  <w:pPr>
                    <w:spacing w:before="100" w:beforeAutospacing="1" w:after="100" w:afterAutospacing="1" w:line="20" w:lineRule="atLeas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8804C7" w:rsidRPr="008804C7" w:rsidRDefault="008804C7" w:rsidP="008804C7">
                  <w:pPr>
                    <w:spacing w:after="0" w:line="240" w:lineRule="exact"/>
                    <w:jc w:val="both"/>
                    <w:rPr>
                      <w:rFonts w:ascii="Times New Roman" w:eastAsia="Arial Unicode MS" w:hAnsi="Times New Roman" w:cs="Times New Roman"/>
                      <w:sz w:val="2"/>
                      <w:szCs w:val="18"/>
                      <w:lang w:eastAsia="tr-TR"/>
                    </w:rPr>
                  </w:pPr>
                </w:p>
              </w:tc>
            </w:tr>
          </w:tbl>
          <w:p w:rsidR="008804C7" w:rsidRPr="008804C7" w:rsidRDefault="008804C7" w:rsidP="008804C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NOT: </w:t>
            </w:r>
            <w:r w:rsidRPr="008804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Tablo koordinasyonla görevli avukat veya hukuk müşaviri ile birim amiri tarafından ayrı </w:t>
            </w:r>
            <w:proofErr w:type="spellStart"/>
            <w:r w:rsidRPr="008804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ayrı</w:t>
            </w:r>
            <w:proofErr w:type="spellEnd"/>
            <w:r w:rsidRPr="008804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düzenlenecektir.</w:t>
            </w:r>
          </w:p>
          <w:p w:rsidR="008804C7" w:rsidRPr="008804C7" w:rsidRDefault="008804C7" w:rsidP="008804C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8804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Tarih - İmza</w:t>
            </w:r>
          </w:p>
          <w:p w:rsidR="00AC0491" w:rsidRPr="00AC0491" w:rsidRDefault="00AC0491" w:rsidP="00AC04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</w:p>
        </w:tc>
      </w:tr>
      <w:tr w:rsidR="00AC0491" w:rsidRPr="00AC0491">
        <w:trPr>
          <w:trHeight w:val="480"/>
          <w:jc w:val="center"/>
        </w:trPr>
        <w:tc>
          <w:tcPr>
            <w:tcW w:w="8789" w:type="dxa"/>
            <w:vAlign w:val="center"/>
          </w:tcPr>
          <w:p w:rsidR="00AC0491" w:rsidRPr="00AC0491" w:rsidRDefault="00AC0491" w:rsidP="00AC049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</w:tr>
    </w:tbl>
    <w:p w:rsidR="00AC0491" w:rsidRDefault="00AC0491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C049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26FDD"/>
    <w:rsid w:val="00230137"/>
    <w:rsid w:val="00255D66"/>
    <w:rsid w:val="002566FC"/>
    <w:rsid w:val="002B4AF0"/>
    <w:rsid w:val="0037350C"/>
    <w:rsid w:val="00421AF3"/>
    <w:rsid w:val="00436ABA"/>
    <w:rsid w:val="004455DE"/>
    <w:rsid w:val="0049683C"/>
    <w:rsid w:val="00537F0B"/>
    <w:rsid w:val="00582B4F"/>
    <w:rsid w:val="005B42A5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804C7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AC0491"/>
    <w:rsid w:val="00AF10DD"/>
    <w:rsid w:val="00B1197C"/>
    <w:rsid w:val="00CA6EEC"/>
    <w:rsid w:val="00CE72C5"/>
    <w:rsid w:val="00CF7B26"/>
    <w:rsid w:val="00D0464C"/>
    <w:rsid w:val="00D42B71"/>
    <w:rsid w:val="00D8790C"/>
    <w:rsid w:val="00D91C31"/>
    <w:rsid w:val="00DE6463"/>
    <w:rsid w:val="00E2042C"/>
    <w:rsid w:val="00EA6AC3"/>
    <w:rsid w:val="00EB6368"/>
    <w:rsid w:val="00F108DF"/>
    <w:rsid w:val="00F76D09"/>
    <w:rsid w:val="00F836B4"/>
    <w:rsid w:val="00FA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2808</Words>
  <Characters>16008</Characters>
  <Application>Microsoft Office Word</Application>
  <DocSecurity>0</DocSecurity>
  <Lines>133</Lines>
  <Paragraphs>37</Paragraphs>
  <ScaleCrop>false</ScaleCrop>
  <Company>TURMOB</Company>
  <LinksUpToDate>false</LinksUpToDate>
  <CharactersWithSpaces>18779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59</cp:revision>
  <cp:lastPrinted>2013-01-07T06:33:00Z</cp:lastPrinted>
  <dcterms:created xsi:type="dcterms:W3CDTF">2013-01-02T06:53:00Z</dcterms:created>
  <dcterms:modified xsi:type="dcterms:W3CDTF">2013-01-17T06:45:00Z</dcterms:modified>
</cp:coreProperties>
</file>