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F607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28533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C87EF8" w:rsidRDefault="00C87EF8" w:rsidP="00C87EF8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C87EF8" w:rsidRDefault="00C87EF8" w:rsidP="00C87EF8">
      <w:pPr>
        <w:pStyle w:val="2-OrtaBaslk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ELEKTRON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TEBL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GAT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C87EF8" w:rsidRDefault="00C87EF8" w:rsidP="00C87EF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87EF8" w:rsidRDefault="00C87EF8" w:rsidP="00C87EF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spellStart"/>
      <w:r>
        <w:rPr>
          <w:sz w:val="18"/>
          <w:szCs w:val="18"/>
        </w:rPr>
        <w:t>kaza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 xml:space="preserve"> merciler, </w:t>
      </w:r>
      <w:proofErr w:type="gramStart"/>
      <w:r>
        <w:rPr>
          <w:sz w:val="18"/>
          <w:szCs w:val="18"/>
        </w:rPr>
        <w:t>10/12/2003</w:t>
      </w:r>
      <w:proofErr w:type="gramEnd"/>
      <w:r>
        <w:rPr>
          <w:sz w:val="18"/>
          <w:szCs w:val="18"/>
        </w:rPr>
        <w:t xml:space="preserve"> tarihli ve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Kanununa ekli (I)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idareleri, (II)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idareler, (III)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ve denetleyici kurumlar, (IV)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 yer alan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ahsiyetleri, barolar ve noterler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elektronik tebligatlar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11/2/1959</w:t>
      </w:r>
      <w:proofErr w:type="gramEnd"/>
      <w:r>
        <w:rPr>
          <w:sz w:val="18"/>
          <w:szCs w:val="18"/>
        </w:rPr>
        <w:t xml:space="preserve"> tarihli ve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Kanununun 7/a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Elektronik tebligat: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Elektronik tebligat adresi: Muhatap ve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karan </w:t>
      </w:r>
      <w:proofErr w:type="spellStart"/>
      <w:r>
        <w:rPr>
          <w:sz w:val="18"/>
          <w:szCs w:val="18"/>
        </w:rPr>
        <w:t>merciye</w:t>
      </w:r>
      <w:proofErr w:type="spellEnd"/>
      <w:r>
        <w:rPr>
          <w:sz w:val="18"/>
          <w:szCs w:val="18"/>
        </w:rPr>
        <w:t xml:space="preserve"> ait olan elektronik tebligata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adresini,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Elektronik tebligat hizmeti: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elektronik tebligat adresine iletilmek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nderilmesini ve bu iletinin muhataba elektronik ortamda </w:t>
      </w:r>
      <w:proofErr w:type="spellStart"/>
      <w:r>
        <w:rPr>
          <w:sz w:val="18"/>
          <w:szCs w:val="18"/>
        </w:rPr>
        <w:t>delillendirilerek</w:t>
      </w:r>
      <w:proofErr w:type="spellEnd"/>
      <w:r>
        <w:rPr>
          <w:sz w:val="18"/>
          <w:szCs w:val="18"/>
        </w:rPr>
        <w:t xml:space="preserve"> tesliminin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hizmetini,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edilecek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ekli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ile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muhatap bilgilerinden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halini,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elektronik imza: </w:t>
      </w:r>
      <w:proofErr w:type="gramStart"/>
      <w:r>
        <w:rPr>
          <w:sz w:val="18"/>
          <w:szCs w:val="18"/>
        </w:rPr>
        <w:t>15/1/2004</w:t>
      </w:r>
      <w:proofErr w:type="gramEnd"/>
      <w:r>
        <w:rPr>
          <w:sz w:val="18"/>
          <w:szCs w:val="18"/>
        </w:rPr>
        <w:t xml:space="preserve"> tarihli ve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mza Kanununun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dare: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verilerini imzalamak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elektronik sertifikay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Kanun: </w:t>
      </w:r>
      <w:proofErr w:type="gramStart"/>
      <w:r>
        <w:rPr>
          <w:sz w:val="18"/>
          <w:szCs w:val="18"/>
        </w:rPr>
        <w:t>11/2/1959</w:t>
      </w:r>
      <w:proofErr w:type="gramEnd"/>
      <w:r>
        <w:rPr>
          <w:sz w:val="18"/>
          <w:szCs w:val="18"/>
        </w:rPr>
        <w:t xml:space="preserve"> tarihli ve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Kanununu,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(KEP): Elektronik iletilerin,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nderimi ve teslimat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delil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elektronik postan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nitelikli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netilen Merkezi Sicil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No: 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tekil numaray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Muhatap: Elektronik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Olay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elektronik tebligat hizmetinin verilmesi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gelen ve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merci: Elektronik tebligat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kendilerine elektronik tebligat adresi verilen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proofErr w:type="spellStart"/>
      <w:r>
        <w:rPr>
          <w:sz w:val="18"/>
          <w:szCs w:val="18"/>
        </w:rPr>
        <w:t>kaza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 xml:space="preserve"> merciler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lkeler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ilkeler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Bilgi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verilerin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Birlikte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abilirlik.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Hizmet kalitesinin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C87EF8" w:rsidRDefault="00C87EF8" w:rsidP="00C87EF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87EF8" w:rsidRDefault="00C87EF8" w:rsidP="00C87EF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Elektronik Tebligatla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Elektronik tebligat hizmeti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Elektronik ortamda tebligat yapmaya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dare, elektronik tebligat hizmetini yerine getirir.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Elektronik tebligat adresi edinme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merciler, elektronik tebligat adresi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vuruda, elektronik tebligat adresinin hangi birim ve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da belirtilir.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merciin merkez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bir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elektronik ortamda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talebi halinde, merci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bulunan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birimler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bir elektronik tebligat adresi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tebligat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karan merciin sistemi ile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sistemi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proofErr w:type="gramStart"/>
      <w:r>
        <w:rPr>
          <w:sz w:val="18"/>
          <w:szCs w:val="18"/>
        </w:rPr>
        <w:t>entegrasyonla</w:t>
      </w:r>
      <w:proofErr w:type="gramEnd"/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Elektronik tebligat hizmetinden yararlanacak muhatap, elektronik tebligata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adresi edinir.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muhataplar,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elektronik tebligat adresi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yapabilir.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Muhataplara ait elektronik tebligat adresleri ve bu adreslere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tirilecek </w:t>
      </w:r>
      <w:proofErr w:type="gramStart"/>
      <w:r>
        <w:rPr>
          <w:sz w:val="18"/>
          <w:szCs w:val="18"/>
        </w:rPr>
        <w:t>entegrasyon</w:t>
      </w:r>
      <w:proofErr w:type="gramEnd"/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karmaya yetkili mercilerin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elektronik tebligat hizmeti alanlar listesinde tutulur. Elektronik tebligat hizmetinden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yararlananlar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listede yer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muvafakatlerine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Elektronik tebligat hizmetinden yararlanma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Anonim, </w:t>
      </w:r>
      <w:proofErr w:type="spellStart"/>
      <w:r>
        <w:rPr>
          <w:sz w:val="18"/>
          <w:szCs w:val="18"/>
        </w:rPr>
        <w:t>limited</w:t>
      </w:r>
      <w:proofErr w:type="spellEnd"/>
      <w:r>
        <w:rPr>
          <w:sz w:val="18"/>
          <w:szCs w:val="18"/>
        </w:rPr>
        <w:t xml:space="preserve"> ve sermayesi paylara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komandit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irketlere, elektronik yolla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elektronik tebligattan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Kendilerine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elektronik yolla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muhataplar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karmaya yetkili merciler </w:t>
      </w:r>
      <w:proofErr w:type="spellStart"/>
      <w:r>
        <w:rPr>
          <w:sz w:val="18"/>
          <w:szCs w:val="18"/>
        </w:rPr>
        <w:t>nezdindeki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elektronik tebligat adreslerini bildirmeleri zorunludur.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Kendilerine zorunlu olarak elektronik yolla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muhataplara, elektronik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zorunlu bir sebeple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Kanunda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usullerle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tebligatta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tebligatlar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bildirilir.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Kendilerine elektronik yolla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muhataplar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elektronik yolla tebligat almak istemeleri halinde,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karmaya yetkili merciler </w:t>
      </w:r>
      <w:proofErr w:type="spellStart"/>
      <w:r>
        <w:rPr>
          <w:sz w:val="18"/>
          <w:szCs w:val="18"/>
        </w:rPr>
        <w:t>nezdindeki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elektronik tebligat adresini bildirmeleri gerekir. Bu muhataplar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karan </w:t>
      </w:r>
      <w:proofErr w:type="spellStart"/>
      <w:r>
        <w:rPr>
          <w:sz w:val="18"/>
          <w:szCs w:val="18"/>
        </w:rPr>
        <w:t>merciye</w:t>
      </w:r>
      <w:proofErr w:type="spellEnd"/>
      <w:r>
        <w:rPr>
          <w:sz w:val="18"/>
          <w:szCs w:val="18"/>
        </w:rPr>
        <w:t xml:space="preserve"> bildirdi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adresin elektronik tebligata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bunlara, Kanunda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usullerle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durumda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tebligata,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bildirmi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adresin, elektronik tebligata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karan merci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elektronik 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nderilmesi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merci,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elektronik tebligat adresi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iletir.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dare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elektronik 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muhataba iletilmesi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Kendisine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dare, bu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kilendirerek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tebligat adresine; muhatap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elektronik tebligat adresi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bu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sunucusuna iletir. Kendisine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kilendirerek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tebligat adresine iletir.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bilgisini ve mesaj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zetini muhataba iletmez, sisteminde tutar.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Elektronik yolla tebligat,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tebligat adresine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 izleyen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adresine elektronik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iletilip iletilmedi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 gecikme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 bu gecikmeye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olay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tutar, bu bilgileri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sistemi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karan </w:t>
      </w:r>
      <w:proofErr w:type="spellStart"/>
      <w:r>
        <w:rPr>
          <w:sz w:val="18"/>
          <w:szCs w:val="18"/>
        </w:rPr>
        <w:t>merciye</w:t>
      </w:r>
      <w:proofErr w:type="spellEnd"/>
      <w:r>
        <w:rPr>
          <w:sz w:val="18"/>
          <w:szCs w:val="18"/>
        </w:rPr>
        <w:t xml:space="preserve"> derhal bildirir.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Olay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en az bir defa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eklenerek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imzayla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ivlerde otuz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talep halinde elektronik tebligata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delil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 mercilere elektronik ortamda sunmakla ve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sistemi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tutmakla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Muhatab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usullerle bilgilendirilmesi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Muhatap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elektronik posta adresi bildirilmi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elektronik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anda bu adrese, bilgilendirme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Muhatap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sa mesaj alma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 telefon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se, talep halinde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muhataba ait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bu telefon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elektronik tebligat bilgilendirme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bilgilendirmelerin herhangi bir nedenle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tebligat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etkilemez,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muhataptan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iadesi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gerektirmez.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bilgilendirilmesine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tutulur.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 sertifikas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gerekli hususlar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ait bilgiler ve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kimin yetkili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hususuna yer verilir.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Muhatab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elektronik tebligat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alma usul</w:t>
      </w:r>
      <w:r>
        <w:rPr>
          <w:b/>
          <w:sz w:val="18"/>
          <w:szCs w:val="18"/>
        </w:rPr>
        <w:t>ü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Muhatap elektronik tebligat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kullanarak veya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verilen parola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ile birlikte telefonuna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mesajla gelen tek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sadece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almaya yetkili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garanti eder.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almaya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inin, kimlik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Vekile veya kanuni temsilciye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elektronik tebligatlarda,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olarak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Elektronik tebligat hizmetinin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kapat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elektronik tebligat hizmetinden yararlanan muhataplar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elektronik tebligat hizmetinin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proofErr w:type="gramStart"/>
      <w:r>
        <w:rPr>
          <w:sz w:val="18"/>
          <w:szCs w:val="18"/>
        </w:rPr>
        <w:t>25/8/2011</w:t>
      </w:r>
      <w:proofErr w:type="gramEnd"/>
      <w:r>
        <w:rPr>
          <w:sz w:val="18"/>
          <w:szCs w:val="18"/>
        </w:rPr>
        <w:t xml:space="preserve"> tarihli ve 28036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Sistemine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tebligat alma hizmetinin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dareye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iletirler.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vuruda, elektronik tebligat adresinin hangi birim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hangi yetkili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da belirtilir.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hizmetin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elektronik imza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elektronik ortamda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elektronik tebligat adresleri, elektronik tebligat hizmeti alanlar listesinden derhal silinir ve elektronik tebligat adresinin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an,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elektronik tebligat adresine tebligat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nderimi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engellenir ancak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tutulur.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imza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hizmetin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 derhal, fiziki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tebligat adresine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 engeller.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Elektronik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muhataplar,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tirebilirler, ancak elektronik tebligat hizmetinin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bulunamazlar.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m, ceza infaz kurumuna girme, askerlik hizmeti gibi sebeplerle elektronik tebligat hizmetinden yararlanma imkan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ancak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karmaya yetkili merciler </w:t>
      </w:r>
      <w:proofErr w:type="spellStart"/>
      <w:r>
        <w:rPr>
          <w:sz w:val="18"/>
          <w:szCs w:val="18"/>
        </w:rPr>
        <w:t>nezdindeki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elektronik tebligat adresini bildirmi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elektronik tebligat adreslerinin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 ilgili kurumlar ile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sistemi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lanacak </w:t>
      </w:r>
      <w:proofErr w:type="gramStart"/>
      <w:r>
        <w:rPr>
          <w:sz w:val="18"/>
          <w:szCs w:val="18"/>
        </w:rPr>
        <w:t>entegrasyon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otomatik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sona ermesi ve benzeri sebeplerle elektronik tebligat hizmetinden yararlanma </w:t>
      </w:r>
      <w:proofErr w:type="gramStart"/>
      <w:r>
        <w:rPr>
          <w:sz w:val="18"/>
          <w:szCs w:val="18"/>
        </w:rPr>
        <w:t>imkan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ortadan kalkm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elektronik tebligat adresinin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da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87EF8" w:rsidRDefault="00C87EF8" w:rsidP="00C87EF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Elektronik Tebligat Hizmetiyle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</w:t>
      </w:r>
    </w:p>
    <w:p w:rsidR="00C87EF8" w:rsidRDefault="00C87EF8" w:rsidP="00C87EF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Yetki ve Sorumluluklar</w:t>
      </w:r>
      <w:r>
        <w:rPr>
          <w:sz w:val="18"/>
          <w:szCs w:val="18"/>
        </w:rPr>
        <w:t>ı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Elektronik tebligat hizmetiyle ilgili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dare, Kanunun elektronik tebligata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iletilen elektronik tebligatlar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sistemi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muhataba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Ancak, muhatap elektronik tebligat adresini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darenin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kendine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kilendirerek ilgili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sunucusuna iletti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anda sona erer.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elektronik tebligat hizmetine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mevzuatta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saklamakla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Mevzuatta yer alan istisnalar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tebligat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muhatap haricindeki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ile tebligat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karmaya yetkili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elektronik tebligat hizmetini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kendilerine bildirilen verileri, elektronik tebligat hizmeti haricinde herhangi bir maksatla kullanamaz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amaz.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bu verilerin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sorumlu olup,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kalmayan verileri imha eder.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Elektronik tebligat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verilerin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nakline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lanamaz. Elektronik ortamda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edilen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verilmesi konusunda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elektronik tebligatlar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tebligat adresine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teslim almak,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saklama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halde bulundurmakla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elektronik tebligat mesaj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karan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iletilmesi tarihinden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tutar. Muhatap ile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aksine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yok ise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elektronik tebligata konu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silinir.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Elektronik tebligat hizmetinin yerine getirilmesi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ilgili olarak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engelli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elektronik tebligat hizmetinden yararlanabilmeleri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Kendisine zorunlu olarak elektronik yolla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ancak elektronik tebligat adresi edinmeyen muhataplar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tebligat adreslerine, elektronik tebligat adresi edinmeleri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</w:t>
      </w:r>
      <w:proofErr w:type="spellStart"/>
      <w:r>
        <w:rPr>
          <w:sz w:val="18"/>
          <w:szCs w:val="18"/>
        </w:rPr>
        <w:t>MERS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ten</w:t>
      </w:r>
      <w:proofErr w:type="spellEnd"/>
      <w:r>
        <w:rPr>
          <w:sz w:val="18"/>
          <w:szCs w:val="18"/>
        </w:rPr>
        <w:t xml:space="preserve"> sorumlu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Elektronik tebligat hizmetlerinin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cretlendirilmesi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hizmetlerin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bedele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tarifesini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belirleyerek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mlar.</w:t>
      </w:r>
    </w:p>
    <w:p w:rsidR="00C87EF8" w:rsidRDefault="00C87EF8" w:rsidP="00C87EF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87EF8" w:rsidRDefault="00C87EF8" w:rsidP="00C87EF8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Uygulanacak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de </w:t>
      </w:r>
      <w:proofErr w:type="gramStart"/>
      <w:r>
        <w:rPr>
          <w:sz w:val="18"/>
          <w:szCs w:val="18"/>
        </w:rPr>
        <w:t>25/1/2012</w:t>
      </w:r>
      <w:proofErr w:type="gramEnd"/>
      <w:r>
        <w:rPr>
          <w:sz w:val="18"/>
          <w:szCs w:val="18"/>
        </w:rPr>
        <w:t xml:space="preserve"> tarihli ve 28184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Tebligat Kanununun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Posta Sistemine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19/1/2013</w:t>
      </w:r>
      <w:proofErr w:type="gramEnd"/>
      <w:r>
        <w:rPr>
          <w:sz w:val="18"/>
          <w:szCs w:val="18"/>
        </w:rPr>
        <w:t xml:space="preserve"> tarihinde,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C87EF8" w:rsidRDefault="00C87EF8" w:rsidP="00C87EF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C87EF8" w:rsidRDefault="00C87EF8" w:rsidP="00C87EF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Adalet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87EF8" w:rsidRDefault="00C87EF8" w:rsidP="00DF6078">
      <w:pPr>
        <w:pStyle w:val="2-OrtaBaslk"/>
        <w:spacing w:line="240" w:lineRule="exact"/>
        <w:rPr>
          <w:sz w:val="18"/>
          <w:szCs w:val="18"/>
        </w:rPr>
      </w:pPr>
    </w:p>
    <w:sectPr w:rsidR="00C87EF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37EC7"/>
    <w:rsid w:val="009F1AA3"/>
    <w:rsid w:val="009F2D7D"/>
    <w:rsid w:val="00A00FEB"/>
    <w:rsid w:val="00A81FD8"/>
    <w:rsid w:val="00A86A0A"/>
    <w:rsid w:val="00A86C21"/>
    <w:rsid w:val="00A973F8"/>
    <w:rsid w:val="00AF10DD"/>
    <w:rsid w:val="00B1197C"/>
    <w:rsid w:val="00C87EF8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EF2E80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2371</Words>
  <Characters>13519</Characters>
  <Application>Microsoft Office Word</Application>
  <DocSecurity>0</DocSecurity>
  <Lines>112</Lines>
  <Paragraphs>31</Paragraphs>
  <ScaleCrop>false</ScaleCrop>
  <Company>TURMOB</Company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</cp:revision>
  <cp:lastPrinted>2013-01-07T06:33:00Z</cp:lastPrinted>
  <dcterms:created xsi:type="dcterms:W3CDTF">2013-01-02T06:53:00Z</dcterms:created>
  <dcterms:modified xsi:type="dcterms:W3CDTF">2013-01-21T06:31:00Z</dcterms:modified>
</cp:coreProperties>
</file>