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2654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28537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880D43" w:rsidRDefault="00880D43" w:rsidP="00DF6078">
      <w:pPr>
        <w:pStyle w:val="2-OrtaBaslk"/>
        <w:spacing w:line="240" w:lineRule="exact"/>
        <w:rPr>
          <w:sz w:val="18"/>
          <w:szCs w:val="18"/>
        </w:rPr>
      </w:pPr>
    </w:p>
    <w:p w:rsidR="00A26545" w:rsidRPr="00A26545" w:rsidRDefault="00A26545" w:rsidP="00A26545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A2654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A2654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A2654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A2654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A26545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2012/4138</w:t>
      </w:r>
    </w:p>
    <w:p w:rsidR="00A26545" w:rsidRPr="00A26545" w:rsidRDefault="00A26545" w:rsidP="00A2654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Havuzu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Tarafından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Kapsama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Alınacak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Riskler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Ürünler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Bölgeler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Prim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Desteği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Oranlarına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Gıda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Hayvancılık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20/12/2012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18803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5363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12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maddeleri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5488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19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uncu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24/12/2012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A26545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A26545" w:rsidRPr="00A26545" w:rsidRDefault="00A26545" w:rsidP="00A2654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A26545" w:rsidRPr="00A26545" w:rsidRDefault="00A26545" w:rsidP="00A26545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A26545" w:rsidRPr="00A26545" w:rsidRDefault="00A26545" w:rsidP="00A26545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A26545" w:rsidRPr="00A26545" w:rsidRDefault="00A26545" w:rsidP="00A2654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A26545" w:rsidRPr="00A26545" w:rsidRDefault="00A26545" w:rsidP="00A2654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A26545" w:rsidRPr="00A26545" w:rsidRDefault="00A26545" w:rsidP="00A26545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A26545" w:rsidRPr="00A26545" w:rsidRDefault="00A26545" w:rsidP="00A26545">
      <w:pPr>
        <w:tabs>
          <w:tab w:val="center" w:pos="1595"/>
          <w:tab w:val="center" w:pos="3891"/>
          <w:tab w:val="center" w:pos="587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A26545" w:rsidRPr="00A26545" w:rsidRDefault="00A26545" w:rsidP="00A26545">
      <w:pPr>
        <w:tabs>
          <w:tab w:val="center" w:pos="1595"/>
          <w:tab w:val="center" w:pos="3891"/>
          <w:tab w:val="center" w:pos="58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A26545" w:rsidRPr="00A26545" w:rsidRDefault="00A26545" w:rsidP="00A26545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A26545" w:rsidRPr="00A26545" w:rsidRDefault="00A26545" w:rsidP="00A26545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A2654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A26545" w:rsidRPr="00A26545" w:rsidRDefault="00A26545" w:rsidP="00A26545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A26545" w:rsidRPr="00A26545" w:rsidRDefault="00A26545" w:rsidP="00A2654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TARIM S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GORTALARI HAVUZU TARAFINDAN KAPSAMA ALINACAK</w:t>
      </w:r>
    </w:p>
    <w:p w:rsidR="00A26545" w:rsidRPr="00A26545" w:rsidRDefault="00A26545" w:rsidP="00A26545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SKLER,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NLER VE B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LGELER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LE PR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M DESTE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Ğİ</w:t>
      </w:r>
    </w:p>
    <w:p w:rsidR="00A26545" w:rsidRPr="00A26545" w:rsidRDefault="00A26545" w:rsidP="00A26545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ORANLARINA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N KARAR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Teminat alt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nacak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nler ve riskler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(1) Bitkisel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in dolu ana riski ile birlikte; 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na, hortum, yang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n, heyelan, deprem, sel ve su bask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ek riskleri paket halinde; ayr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ca, a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k alanda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tirilen meyveler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in bu risklere ilave olarak, iste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zere, don riski; ilgili genel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artlar, teknik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artlar, tarife ve talimatlar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nda;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ilerin mevcut arazi ve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 bilgileri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teminat alt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A26545">
        <w:rPr>
          <w:rFonts w:ascii="Times New Roman" w:eastAsia="ヒラギノ明朝 Pro W3" w:hAnsi="Times" w:cs="Times New Roman"/>
          <w:sz w:val="18"/>
          <w:szCs w:val="18"/>
        </w:rPr>
        <w:t>(2) Seralar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in dolu ana riski ile birlikte; 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na, hortum, yang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n, heyelan, deprem, ta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arpmas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, kar ve dolu a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ile sel ve su bask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ek riskleri paket halinde; ilgili genel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artlar, teknik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artlar, tarife ve talimatlar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nda;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ilerin mevcut arazi, sera,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letme ve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 bilgileri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teminat alt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t>(3) Veteriner Bilgi Sistemine (T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RKVET)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olan 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 ve erkek besi 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ile mandalar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m riski; ilgili genel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artlar, teknik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artlar, tarife ve talimatlar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nda; mevcut tesis,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letme ve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tiricilik bilgileri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teminat alt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t>(4) Veteriner Bilgi Sistemine (T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RKVET)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olan koyun ve ke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iler ile ko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ve tekeler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m riski; ilgili genel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artlar, teknik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artlar, tarife ve talimatlar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nda; mevcut tesis,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letme ve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tiricilik bilgileri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teminat alt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t>(5) Kapal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sistemde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retim yap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lan, </w:t>
      </w:r>
      <w:proofErr w:type="spellStart"/>
      <w:r w:rsidRPr="00A26545">
        <w:rPr>
          <w:rFonts w:ascii="Times New Roman" w:eastAsia="ヒラギノ明朝 Pro W3" w:hAnsi="Times" w:cs="Times New Roman"/>
          <w:sz w:val="18"/>
          <w:szCs w:val="18"/>
        </w:rPr>
        <w:t>bio</w:t>
      </w:r>
      <w:proofErr w:type="spellEnd"/>
      <w:r w:rsidRPr="00A26545">
        <w:rPr>
          <w:rFonts w:ascii="Times New Roman" w:eastAsia="ヒラギノ明朝 Pro W3" w:hAnsi="Times" w:cs="Times New Roman"/>
          <w:sz w:val="18"/>
          <w:szCs w:val="18"/>
        </w:rPr>
        <w:t>-g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venlik ve </w:t>
      </w:r>
      <w:proofErr w:type="gramStart"/>
      <w:r w:rsidRPr="00A26545">
        <w:rPr>
          <w:rFonts w:ascii="Times New Roman" w:eastAsia="ヒラギノ明朝 Pro W3" w:hAnsi="Times" w:cs="Times New Roman"/>
          <w:sz w:val="18"/>
          <w:szCs w:val="18"/>
        </w:rPr>
        <w:t>hijyen</w:t>
      </w:r>
      <w:proofErr w:type="gramEnd"/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tedbirleri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tesislerde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tirilen k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mes hayvanlar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m riski; ilgili genel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artlar, teknik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artlar, tarife ve talimatlar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nda; mevcut tesis,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letme ve k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mes hayvanlar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ait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tiricilik bilgileri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teminat alt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lastRenderedPageBreak/>
        <w:t>(6) Denizlerde ve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sularda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tirilen su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nleri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m riski; ilgili genel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artlar, teknik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artlar, tarife ve talimatlar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nda; Su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nleri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letmelerin mevcut tesis,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letme ve su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nleri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tiricilik bilgileri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teminat alt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t>(7) Risk incelemesi sonucunda,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sigortalanmas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lmeyen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letme, tesis ve riskler sigorta edilmez.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t>(8)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taraf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sigorta edilmeyen tesisler,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letmeler,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nler ve riskler ile ilgili genel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artlar, teknik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artlar, tarife ve talimatlarla kapsam d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haller ve kay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plar, 5363 say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Kanununun 17 </w:t>
      </w:r>
      <w:proofErr w:type="spellStart"/>
      <w:r w:rsidRPr="00A26545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maddesindeki uygulama 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 yer alan riskler aras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Prim deste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(1) Bu Karar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 belirlenen riskler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in 2013 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nda, sigorta priminin % 50'si oran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 prim deste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k alanda yeti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tirilen meyvelerde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eklenme evresinin don riski kapsam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, risk maliyetindeki art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lar ve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deyece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 prim de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verilen prim deste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ine ilave olarak, sadece don riski primine 1/3 oran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 ek prim deste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Havuzuna b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enin ilgili tertibinden aktar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larak kar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Meteorolojik veri payla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(1) 5363 say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evesinde,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 teminatlar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 geli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tirilmesi, risklerin de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erlendirilmesi, </w:t>
      </w:r>
      <w:proofErr w:type="spellStart"/>
      <w:r w:rsidRPr="00A26545">
        <w:rPr>
          <w:rFonts w:ascii="Times New Roman" w:eastAsia="ヒラギノ明朝 Pro W3" w:hAnsi="Times" w:cs="Times New Roman"/>
          <w:sz w:val="18"/>
          <w:szCs w:val="18"/>
        </w:rPr>
        <w:t>akt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erya</w:t>
      </w:r>
      <w:proofErr w:type="spellEnd"/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ve hasar tespit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n etkin bir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lmesi 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in Meteoroloji Genel 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k ve/veya ayl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k meteorolojik verileri,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Sigortalar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Havuzu ile bilgisayar ortam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cretsiz olarak payla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Cezai h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(1) Haks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z yere yap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lan destekleme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demeleri,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deme tarihinden itibaren, 6183 say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 Kanunun 51 inci maddesinde belirtilen gecikme zamm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oranlar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narak, hesaplanan kanuni faizi ile birlikte geri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 Haks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demeyi sa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layan belgeleri d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zenleyen ger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iler, geri al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nacak tutarlar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 tahsilinde 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tereken sorumlu tutulurlar.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sz w:val="18"/>
          <w:szCs w:val="18"/>
        </w:rPr>
        <w:t>(2) 5363 say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Kanunla belirlenen sigorta primi destekleme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demelerinden, idari hata sonucu d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zenlenen belgelerle yap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demeler hari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, haks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z yere yararland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tespit edilen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reticiler, be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reyle hi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bir destekleme program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lmazlar.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(1) Bu Karar </w:t>
      </w:r>
      <w:proofErr w:type="gramStart"/>
      <w:r w:rsidRPr="00A26545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A26545" w:rsidRPr="00A26545" w:rsidRDefault="00A26545" w:rsidP="00A2654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</w:rPr>
      </w:pP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A2654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(1) Bu Karar h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2654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26545" w:rsidRDefault="00A26545" w:rsidP="00DF6078">
      <w:pPr>
        <w:pStyle w:val="2-OrtaBaslk"/>
        <w:spacing w:line="240" w:lineRule="exact"/>
        <w:rPr>
          <w:sz w:val="18"/>
          <w:szCs w:val="18"/>
        </w:rPr>
      </w:pPr>
    </w:p>
    <w:sectPr w:rsidR="00A2654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5F4336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80D43"/>
    <w:rsid w:val="008D1728"/>
    <w:rsid w:val="008E6F06"/>
    <w:rsid w:val="008F7815"/>
    <w:rsid w:val="009356B6"/>
    <w:rsid w:val="0093645D"/>
    <w:rsid w:val="009F1AA3"/>
    <w:rsid w:val="009F2D7D"/>
    <w:rsid w:val="00A26545"/>
    <w:rsid w:val="00A81FD8"/>
    <w:rsid w:val="00A86A0A"/>
    <w:rsid w:val="00A86C21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DF361E"/>
    <w:rsid w:val="00DF6078"/>
    <w:rsid w:val="00E2042C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901</Words>
  <Characters>5139</Characters>
  <Application>Microsoft Office Word</Application>
  <DocSecurity>0</DocSecurity>
  <Lines>42</Lines>
  <Paragraphs>12</Paragraphs>
  <ScaleCrop>false</ScaleCrop>
  <Company>TURMOB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66</cp:revision>
  <cp:lastPrinted>2013-01-07T06:33:00Z</cp:lastPrinted>
  <dcterms:created xsi:type="dcterms:W3CDTF">2013-01-02T06:53:00Z</dcterms:created>
  <dcterms:modified xsi:type="dcterms:W3CDTF">2013-01-23T06:39:00Z</dcterms:modified>
</cp:coreProperties>
</file>