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E22C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28555</w:t>
      </w:r>
      <w:proofErr w:type="gramEnd"/>
    </w:p>
    <w:p w:rsidR="00BF3772" w:rsidRDefault="00BF3772" w:rsidP="004516C8">
      <w:pPr>
        <w:spacing w:after="0" w:line="280" w:lineRule="atLeast"/>
        <w:rPr>
          <w:rFonts w:ascii="Times New Roman" w:hAnsi="Times New Roman" w:cs="Times New Roman"/>
          <w:b/>
          <w:sz w:val="20"/>
          <w:szCs w:val="20"/>
          <w:u w:val="single"/>
        </w:rPr>
      </w:pPr>
    </w:p>
    <w:p w:rsidR="001041EE" w:rsidRDefault="001041EE" w:rsidP="004516C8">
      <w:pPr>
        <w:spacing w:after="0" w:line="280" w:lineRule="atLeast"/>
        <w:rPr>
          <w:rFonts w:ascii="Times New Roman" w:hAnsi="Times New Roman" w:cs="Times New Roman"/>
          <w:b/>
          <w:sz w:val="20"/>
          <w:szCs w:val="20"/>
          <w:u w:val="single"/>
        </w:rPr>
      </w:pPr>
    </w:p>
    <w:p w:rsidR="003D66A0" w:rsidRDefault="003D66A0" w:rsidP="003D66A0">
      <w:pPr>
        <w:tabs>
          <w:tab w:val="left" w:pos="566"/>
        </w:tabs>
        <w:spacing w:after="0" w:line="240" w:lineRule="exact"/>
        <w:ind w:firstLine="566"/>
        <w:rPr>
          <w:rFonts w:ascii="Times New Roman" w:eastAsia="ヒラギノ明朝 Pro W3" w:hAnsi="Times New Roman" w:cs="Times New Roman"/>
          <w:sz w:val="18"/>
          <w:szCs w:val="18"/>
          <w:u w:val="single"/>
        </w:rPr>
      </w:pPr>
      <w:r w:rsidRPr="003D66A0">
        <w:rPr>
          <w:rFonts w:ascii="Times New Roman" w:eastAsia="ヒラギノ明朝 Pro W3" w:hAnsi="Times New Roman" w:cs="Times New Roman"/>
          <w:sz w:val="18"/>
          <w:szCs w:val="18"/>
          <w:u w:val="single"/>
        </w:rPr>
        <w:t>Başbakanlık (Hazine Müsteşarlığı)’tan:</w:t>
      </w:r>
    </w:p>
    <w:p w:rsidR="003D66A0" w:rsidRPr="003D66A0" w:rsidRDefault="003D66A0" w:rsidP="003D66A0">
      <w:pPr>
        <w:tabs>
          <w:tab w:val="left" w:pos="566"/>
        </w:tabs>
        <w:spacing w:after="0" w:line="240" w:lineRule="exact"/>
        <w:ind w:firstLine="566"/>
        <w:rPr>
          <w:rFonts w:ascii="Times New Roman" w:eastAsia="ヒラギノ明朝 Pro W3" w:hAnsi="Times New Roman" w:cs="Times New Roman"/>
          <w:sz w:val="18"/>
          <w:szCs w:val="18"/>
          <w:u w:val="single"/>
        </w:rPr>
      </w:pPr>
    </w:p>
    <w:p w:rsidR="003D66A0" w:rsidRPr="003D66A0" w:rsidRDefault="003D66A0" w:rsidP="003D66A0">
      <w:pPr>
        <w:spacing w:after="0" w:line="240" w:lineRule="exact"/>
        <w:jc w:val="center"/>
        <w:rPr>
          <w:rFonts w:ascii="Times New Roman" w:eastAsia="ヒラギノ明朝 Pro W3" w:hAnsi="Times New Roman" w:cs="Times New Roman"/>
          <w:b/>
          <w:sz w:val="18"/>
          <w:szCs w:val="18"/>
        </w:rPr>
      </w:pPr>
      <w:r w:rsidRPr="003D66A0">
        <w:rPr>
          <w:rFonts w:ascii="Times New Roman" w:eastAsia="ヒラギノ明朝 Pro W3" w:hAnsi="Times New Roman" w:cs="Times New Roman"/>
          <w:b/>
          <w:sz w:val="18"/>
          <w:szCs w:val="18"/>
        </w:rPr>
        <w:t>TRAFİK KAZALARI NEDENİYLE İLGİLİLERE SUNULAN SAĞLIK HİZMET</w:t>
      </w:r>
    </w:p>
    <w:p w:rsidR="003D66A0" w:rsidRPr="003D66A0" w:rsidRDefault="003D66A0" w:rsidP="003D66A0">
      <w:pPr>
        <w:spacing w:after="0" w:line="240" w:lineRule="exact"/>
        <w:jc w:val="center"/>
        <w:rPr>
          <w:rFonts w:ascii="Times New Roman" w:eastAsia="ヒラギノ明朝 Pro W3" w:hAnsi="Times New Roman" w:cs="Times New Roman"/>
          <w:b/>
          <w:sz w:val="18"/>
          <w:szCs w:val="18"/>
        </w:rPr>
      </w:pPr>
      <w:r w:rsidRPr="003D66A0">
        <w:rPr>
          <w:rFonts w:ascii="Times New Roman" w:eastAsia="ヒラギノ明朝 Pro W3" w:hAnsi="Times New Roman" w:cs="Times New Roman"/>
          <w:b/>
          <w:sz w:val="18"/>
          <w:szCs w:val="18"/>
        </w:rPr>
        <w:t>BEDELLERİNİN TAHSİLİNE İLİŞKİN USUL VE ESASLAR HAKKINDA</w:t>
      </w:r>
    </w:p>
    <w:p w:rsidR="003D66A0" w:rsidRDefault="003D66A0" w:rsidP="003D66A0">
      <w:pPr>
        <w:spacing w:after="0" w:line="240" w:lineRule="exact"/>
        <w:jc w:val="center"/>
        <w:rPr>
          <w:rFonts w:ascii="Times New Roman" w:eastAsia="ヒラギノ明朝 Pro W3" w:hAnsi="Times New Roman" w:cs="Times New Roman"/>
          <w:b/>
          <w:sz w:val="18"/>
          <w:szCs w:val="18"/>
        </w:rPr>
      </w:pPr>
      <w:r w:rsidRPr="003D66A0">
        <w:rPr>
          <w:rFonts w:ascii="Times New Roman" w:eastAsia="ヒラギノ明朝 Pro W3" w:hAnsi="Times New Roman" w:cs="Times New Roman"/>
          <w:b/>
          <w:sz w:val="18"/>
          <w:szCs w:val="18"/>
        </w:rPr>
        <w:t>YÖNETMELİKTE DEĞİŞİKLİK YAPILMASINA DAİR YÖNETMELİK</w:t>
      </w:r>
    </w:p>
    <w:p w:rsidR="003D66A0" w:rsidRPr="003D66A0" w:rsidRDefault="003D66A0" w:rsidP="003D66A0">
      <w:pPr>
        <w:spacing w:after="0" w:line="240" w:lineRule="exact"/>
        <w:jc w:val="center"/>
        <w:rPr>
          <w:rFonts w:ascii="Times New Roman" w:eastAsia="ヒラギノ明朝 Pro W3" w:hAnsi="Times New Roman" w:cs="Times New Roman"/>
          <w:b/>
          <w:sz w:val="18"/>
          <w:szCs w:val="18"/>
        </w:rPr>
      </w:pP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b/>
          <w:bCs/>
          <w:sz w:val="18"/>
          <w:szCs w:val="18"/>
        </w:rPr>
        <w:t>MADDE 1 –</w:t>
      </w:r>
      <w:r w:rsidRPr="003D66A0">
        <w:rPr>
          <w:rFonts w:ascii="Times New Roman" w:eastAsia="ヒラギノ明朝 Pro W3" w:hAnsi="Times New Roman" w:cs="Times New Roman"/>
          <w:sz w:val="18"/>
          <w:szCs w:val="18"/>
        </w:rPr>
        <w:t xml:space="preserve"> </w:t>
      </w:r>
      <w:proofErr w:type="gramStart"/>
      <w:r w:rsidRPr="003D66A0">
        <w:rPr>
          <w:rFonts w:ascii="Times New Roman" w:eastAsia="ヒラギノ明朝 Pro W3" w:hAnsi="Times New Roman" w:cs="Times New Roman"/>
          <w:sz w:val="18"/>
          <w:szCs w:val="18"/>
        </w:rPr>
        <w:t>27/8/2011</w:t>
      </w:r>
      <w:proofErr w:type="gramEnd"/>
      <w:r w:rsidRPr="003D66A0">
        <w:rPr>
          <w:rFonts w:ascii="Times New Roman" w:eastAsia="ヒラギノ明朝 Pro W3" w:hAnsi="Times New Roman" w:cs="Times New Roman"/>
          <w:sz w:val="18"/>
          <w:szCs w:val="18"/>
        </w:rPr>
        <w:t xml:space="preserve"> tarihli ve 28038 sayılı Resmî Gazete’de yayımlanan Trafik Kazaları Nedeniyle İlgililere Sunulan Sağlık Hizmet Bedellerinin Tahsiline İlişkin Usul ve Esaslar Hakkında Yönetmeliğe aşağıdaki geçici madde eklenmiştir.</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b/>
          <w:sz w:val="18"/>
          <w:szCs w:val="18"/>
        </w:rPr>
      </w:pPr>
      <w:r w:rsidRPr="003D66A0">
        <w:rPr>
          <w:rFonts w:ascii="Times New Roman" w:eastAsia="ヒラギノ明朝 Pro W3" w:hAnsi="Times New Roman" w:cs="Times New Roman"/>
          <w:b/>
          <w:sz w:val="18"/>
          <w:szCs w:val="18"/>
        </w:rPr>
        <w:t>“2011 yılına ilişkin sektör yükümlülüğünün kesinleştirilmesi</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b/>
          <w:sz w:val="18"/>
          <w:szCs w:val="18"/>
        </w:rPr>
        <w:t>GEÇİCİ MADDE 3 –</w:t>
      </w:r>
      <w:r w:rsidRPr="003D66A0">
        <w:rPr>
          <w:rFonts w:ascii="Times New Roman" w:eastAsia="ヒラギノ明朝 Pro W3" w:hAnsi="Times New Roman" w:cs="Times New Roman"/>
          <w:sz w:val="18"/>
          <w:szCs w:val="18"/>
        </w:rPr>
        <w:t xml:space="preserve"> (1) 2011 yılında düzenlenen Zorunlu Trafik Sigortası poliçeleri bakımından ilgili sigorta şirketlerinin bu Yönetmelik çerçevesindeki yükümlülüğü aşağıdaki şekilde kesinleştirilir:</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sz w:val="18"/>
          <w:szCs w:val="18"/>
        </w:rPr>
        <w:t xml:space="preserve">a) 2011 yılı bakımından bu Yönetmelik uyarınca hesaplanan sektör yükümlülüğünde esas alınan Ek-1’deki Hesaplama Yönteminde yer alan Tablo 1’in oluşturulmasında </w:t>
      </w:r>
      <w:proofErr w:type="gramStart"/>
      <w:r w:rsidRPr="003D66A0">
        <w:rPr>
          <w:rFonts w:ascii="Times New Roman" w:eastAsia="ヒラギノ明朝 Pro W3" w:hAnsi="Times New Roman" w:cs="Times New Roman"/>
          <w:sz w:val="18"/>
          <w:szCs w:val="18"/>
        </w:rPr>
        <w:t>1/1/2013</w:t>
      </w:r>
      <w:proofErr w:type="gramEnd"/>
      <w:r w:rsidRPr="003D66A0">
        <w:rPr>
          <w:rFonts w:ascii="Times New Roman" w:eastAsia="ヒラギノ明朝 Pro W3" w:hAnsi="Times New Roman" w:cs="Times New Roman"/>
          <w:sz w:val="18"/>
          <w:szCs w:val="18"/>
        </w:rPr>
        <w:t xml:space="preserve"> tarihi itibariyle Merkez nezdinde mevcut veriler esas alınır. Söz konusu hesaplamada hesap yılı </w:t>
      </w:r>
      <w:proofErr w:type="spellStart"/>
      <w:r w:rsidRPr="003D66A0">
        <w:rPr>
          <w:rFonts w:ascii="Times New Roman" w:eastAsia="ヒラギノ明朝 Pro W3" w:hAnsi="Times New Roman" w:cs="Times New Roman"/>
          <w:sz w:val="18"/>
          <w:szCs w:val="18"/>
        </w:rPr>
        <w:t>iskontosu</w:t>
      </w:r>
      <w:proofErr w:type="spellEnd"/>
      <w:r w:rsidRPr="003D66A0">
        <w:rPr>
          <w:rFonts w:ascii="Times New Roman" w:eastAsia="ヒラギノ明朝 Pro W3" w:hAnsi="Times New Roman" w:cs="Times New Roman"/>
          <w:sz w:val="18"/>
          <w:szCs w:val="18"/>
        </w:rPr>
        <w:t xml:space="preserve"> yapılmaz. Bu şekilde hesaplanacak tutar ile 2011 yılına ilişkin olarak Müsteşarlıkça daha önceden yapılan hesaplamaya göre tahakkuk eden sektör yükümlülüğü toplam tutarı arasında Kurum lehine fark bulunması halinde bu fark </w:t>
      </w:r>
      <w:proofErr w:type="gramStart"/>
      <w:r w:rsidRPr="003D66A0">
        <w:rPr>
          <w:rFonts w:ascii="Times New Roman" w:eastAsia="ヒラギノ明朝 Pro W3" w:hAnsi="Times New Roman" w:cs="Times New Roman"/>
          <w:sz w:val="18"/>
          <w:szCs w:val="18"/>
        </w:rPr>
        <w:t>1/1/2013</w:t>
      </w:r>
      <w:proofErr w:type="gramEnd"/>
      <w:r w:rsidRPr="003D66A0">
        <w:rPr>
          <w:rFonts w:ascii="Times New Roman" w:eastAsia="ヒラギノ明朝 Pro W3" w:hAnsi="Times New Roman" w:cs="Times New Roman"/>
          <w:sz w:val="18"/>
          <w:szCs w:val="18"/>
        </w:rPr>
        <w:t xml:space="preserve"> itibariyle 2011 yılında düzenlenen Zorunlu Trafik Sigortası net poliçe adetleri esas alınarak ilgili sigorta şirketlerine dağıtılır. İlgili sigorta şirketleri bu şekilde kendileri için hesaplanan tutarı Kuruma bu maddenin yürürlüğe girdiği tarihten itibaren defaten veya 6 ay içinde taksitler halinde aktarır.</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sz w:val="18"/>
          <w:szCs w:val="18"/>
        </w:rPr>
        <w:t xml:space="preserve">b) </w:t>
      </w:r>
      <w:proofErr w:type="gramStart"/>
      <w:r w:rsidRPr="003D66A0">
        <w:rPr>
          <w:rFonts w:ascii="Times New Roman" w:eastAsia="ヒラギノ明朝 Pro W3" w:hAnsi="Times New Roman" w:cs="Times New Roman"/>
          <w:sz w:val="18"/>
          <w:szCs w:val="18"/>
        </w:rPr>
        <w:t>13/2/2011</w:t>
      </w:r>
      <w:proofErr w:type="gramEnd"/>
      <w:r w:rsidRPr="003D66A0">
        <w:rPr>
          <w:rFonts w:ascii="Times New Roman" w:eastAsia="ヒラギノ明朝 Pro W3" w:hAnsi="Times New Roman" w:cs="Times New Roman"/>
          <w:sz w:val="18"/>
          <w:szCs w:val="18"/>
        </w:rPr>
        <w:t xml:space="preserve"> tarihli ve 6111 sayılı Kanunun 59 uncu maddesinin yürürlüğe girdiği tarihten önceki dönem için sağlık hizmet bedellerine isabet eden tutara yönelik Kurum lehine fark, (a) bendinde yer alan usule göre kesinleştirilen toplam sektör yükümlülüğü esas alınarak belirlenir. Bu fark aynı bentte yer alan vadelerde ilgili sigorta şirketlerince Kuruma aktarılır.”</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b/>
          <w:sz w:val="18"/>
          <w:szCs w:val="18"/>
        </w:rPr>
        <w:t xml:space="preserve">MADDE 2 – </w:t>
      </w:r>
      <w:r w:rsidRPr="003D66A0">
        <w:rPr>
          <w:rFonts w:ascii="Times New Roman" w:eastAsia="ヒラギノ明朝 Pro W3" w:hAnsi="Times New Roman" w:cs="Times New Roman"/>
          <w:sz w:val="18"/>
          <w:szCs w:val="18"/>
        </w:rPr>
        <w:t>Bu Yönetmelik yayımı tarihinde yürürlüğe girer.</w:t>
      </w:r>
    </w:p>
    <w:p w:rsidR="003D66A0" w:rsidRPr="003D66A0" w:rsidRDefault="003D66A0" w:rsidP="003D66A0">
      <w:pPr>
        <w:tabs>
          <w:tab w:val="left" w:pos="566"/>
        </w:tabs>
        <w:spacing w:after="0" w:line="240" w:lineRule="exact"/>
        <w:ind w:firstLine="566"/>
        <w:jc w:val="both"/>
        <w:rPr>
          <w:rFonts w:ascii="Times New Roman" w:eastAsia="ヒラギノ明朝 Pro W3" w:hAnsi="Times New Roman" w:cs="Times New Roman"/>
          <w:sz w:val="18"/>
          <w:szCs w:val="18"/>
        </w:rPr>
      </w:pPr>
      <w:r w:rsidRPr="003D66A0">
        <w:rPr>
          <w:rFonts w:ascii="Times New Roman" w:eastAsia="ヒラギノ明朝 Pro W3" w:hAnsi="Times New Roman" w:cs="Times New Roman"/>
          <w:b/>
          <w:sz w:val="18"/>
          <w:szCs w:val="18"/>
        </w:rPr>
        <w:t>MADDE 3 –</w:t>
      </w:r>
      <w:r w:rsidRPr="003D66A0">
        <w:rPr>
          <w:rFonts w:ascii="Times New Roman" w:eastAsia="ヒラギノ明朝 Pro W3" w:hAnsi="Times New Roman" w:cs="Times New Roman"/>
          <w:sz w:val="18"/>
          <w:szCs w:val="18"/>
        </w:rPr>
        <w:t xml:space="preserve"> Bu Yönetmelik hükümlerini Hazine Müsteşarlığının bağlı olduğu Bakan yürütür.</w:t>
      </w:r>
    </w:p>
    <w:p w:rsidR="003D66A0" w:rsidRPr="003D66A0" w:rsidRDefault="003D66A0" w:rsidP="003D66A0">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3D66A0" w:rsidRPr="003D66A0">
        <w:trPr>
          <w:jc w:val="center"/>
        </w:trPr>
        <w:tc>
          <w:tcPr>
            <w:tcW w:w="8505" w:type="dxa"/>
            <w:gridSpan w:val="3"/>
            <w:tcBorders>
              <w:top w:val="single" w:sz="4" w:space="0" w:color="auto"/>
              <w:left w:val="single" w:sz="4" w:space="0" w:color="auto"/>
              <w:bottom w:val="nil"/>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Y</w:t>
            </w:r>
            <w:r w:rsidRPr="003D66A0">
              <w:rPr>
                <w:rFonts w:ascii="Times New Roman" w:eastAsia="ヒラギノ明朝 Pro W3" w:hAnsi="Times" w:cs="Times New Roman"/>
                <w:b/>
                <w:sz w:val="18"/>
                <w:szCs w:val="18"/>
              </w:rPr>
              <w:t>ö</w:t>
            </w:r>
            <w:r w:rsidRPr="003D66A0">
              <w:rPr>
                <w:rFonts w:ascii="Times New Roman" w:eastAsia="ヒラギノ明朝 Pro W3" w:hAnsi="Times" w:cs="Times New Roman"/>
                <w:b/>
                <w:sz w:val="18"/>
                <w:szCs w:val="18"/>
              </w:rPr>
              <w:t>netmeli</w:t>
            </w:r>
            <w:r w:rsidRPr="003D66A0">
              <w:rPr>
                <w:rFonts w:ascii="Times New Roman" w:eastAsia="ヒラギノ明朝 Pro W3" w:hAnsi="Times" w:cs="Times New Roman"/>
                <w:b/>
                <w:sz w:val="18"/>
                <w:szCs w:val="18"/>
              </w:rPr>
              <w:t>ğ</w:t>
            </w:r>
            <w:r w:rsidRPr="003D66A0">
              <w:rPr>
                <w:rFonts w:ascii="Times New Roman" w:eastAsia="ヒラギノ明朝 Pro W3" w:hAnsi="Times" w:cs="Times New Roman"/>
                <w:b/>
                <w:sz w:val="18"/>
                <w:szCs w:val="18"/>
              </w:rPr>
              <w:t>in Yay</w:t>
            </w:r>
            <w:r w:rsidRPr="003D66A0">
              <w:rPr>
                <w:rFonts w:ascii="Times New Roman" w:eastAsia="ヒラギノ明朝 Pro W3" w:hAnsi="Times" w:cs="Times New Roman"/>
                <w:b/>
                <w:sz w:val="18"/>
                <w:szCs w:val="18"/>
              </w:rPr>
              <w:t>ı</w:t>
            </w:r>
            <w:r w:rsidRPr="003D66A0">
              <w:rPr>
                <w:rFonts w:ascii="Times New Roman" w:eastAsia="ヒラギノ明朝 Pro W3" w:hAnsi="Times" w:cs="Times New Roman"/>
                <w:b/>
                <w:sz w:val="18"/>
                <w:szCs w:val="18"/>
              </w:rPr>
              <w:t>mland</w:t>
            </w:r>
            <w:r w:rsidRPr="003D66A0">
              <w:rPr>
                <w:rFonts w:ascii="Times New Roman" w:eastAsia="ヒラギノ明朝 Pro W3" w:hAnsi="Times" w:cs="Times New Roman"/>
                <w:b/>
                <w:sz w:val="18"/>
                <w:szCs w:val="18"/>
              </w:rPr>
              <w:t>ığı</w:t>
            </w:r>
            <w:r w:rsidRPr="003D66A0">
              <w:rPr>
                <w:rFonts w:ascii="Times New Roman" w:eastAsia="ヒラギノ明朝 Pro W3" w:hAnsi="Times" w:cs="Times New Roman"/>
                <w:b/>
                <w:sz w:val="18"/>
                <w:szCs w:val="18"/>
              </w:rPr>
              <w:t xml:space="preserve"> Resm</w:t>
            </w:r>
            <w:r w:rsidRPr="003D66A0">
              <w:rPr>
                <w:rFonts w:ascii="Times New Roman" w:eastAsia="ヒラギノ明朝 Pro W3" w:hAnsi="Times" w:cs="Times New Roman"/>
                <w:b/>
                <w:sz w:val="18"/>
                <w:szCs w:val="18"/>
              </w:rPr>
              <w:t>î</w:t>
            </w:r>
            <w:r w:rsidRPr="003D66A0">
              <w:rPr>
                <w:rFonts w:ascii="Times New Roman" w:eastAsia="ヒラギノ明朝 Pro W3" w:hAnsi="Times" w:cs="Times New Roman"/>
                <w:b/>
                <w:sz w:val="18"/>
                <w:szCs w:val="18"/>
              </w:rPr>
              <w:t xml:space="preserve"> Gazete'nin</w:t>
            </w:r>
          </w:p>
        </w:tc>
      </w:tr>
      <w:tr w:rsidR="003D66A0" w:rsidRPr="003D66A0">
        <w:trPr>
          <w:jc w:val="center"/>
        </w:trPr>
        <w:tc>
          <w:tcPr>
            <w:tcW w:w="4254" w:type="dxa"/>
            <w:gridSpan w:val="2"/>
            <w:tcBorders>
              <w:top w:val="nil"/>
              <w:left w:val="single" w:sz="4" w:space="0" w:color="auto"/>
              <w:bottom w:val="single" w:sz="4" w:space="0" w:color="auto"/>
              <w:right w:val="nil"/>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Say</w:t>
            </w:r>
            <w:r w:rsidRPr="003D66A0">
              <w:rPr>
                <w:rFonts w:ascii="Times New Roman" w:eastAsia="ヒラギノ明朝 Pro W3" w:hAnsi="Times" w:cs="Times New Roman"/>
                <w:b/>
                <w:sz w:val="18"/>
                <w:szCs w:val="18"/>
              </w:rPr>
              <w:t>ı</w:t>
            </w:r>
            <w:r w:rsidRPr="003D66A0">
              <w:rPr>
                <w:rFonts w:ascii="Times New Roman" w:eastAsia="ヒラギノ明朝 Pro W3" w:hAnsi="Times" w:cs="Times New Roman"/>
                <w:b/>
                <w:sz w:val="18"/>
                <w:szCs w:val="18"/>
              </w:rPr>
              <w:t>s</w:t>
            </w:r>
            <w:r w:rsidRPr="003D66A0">
              <w:rPr>
                <w:rFonts w:ascii="Times New Roman" w:eastAsia="ヒラギノ明朝 Pro W3" w:hAnsi="Times" w:cs="Times New Roman"/>
                <w:b/>
                <w:sz w:val="18"/>
                <w:szCs w:val="18"/>
              </w:rPr>
              <w:t>ı</w:t>
            </w:r>
          </w:p>
        </w:tc>
      </w:tr>
      <w:tr w:rsidR="003D66A0" w:rsidRPr="003D66A0">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proofErr w:type="gramStart"/>
            <w:r w:rsidRPr="003D66A0">
              <w:rPr>
                <w:rFonts w:ascii="Times New Roman" w:eastAsia="ヒラギノ明朝 Pro W3" w:hAnsi="Times" w:cs="Times New Roman"/>
                <w:sz w:val="18"/>
                <w:szCs w:val="18"/>
              </w:rPr>
              <w:t>27/8/2011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r w:rsidRPr="003D66A0">
              <w:rPr>
                <w:rFonts w:ascii="Times New Roman" w:eastAsia="ヒラギノ明朝 Pro W3" w:hAnsi="Times" w:cs="Times New Roman"/>
                <w:sz w:val="18"/>
                <w:szCs w:val="18"/>
              </w:rPr>
              <w:t>28038</w:t>
            </w:r>
          </w:p>
        </w:tc>
      </w:tr>
      <w:tr w:rsidR="003D66A0" w:rsidRPr="003D66A0">
        <w:trPr>
          <w:jc w:val="center"/>
        </w:trPr>
        <w:tc>
          <w:tcPr>
            <w:tcW w:w="8505" w:type="dxa"/>
            <w:gridSpan w:val="3"/>
            <w:tcBorders>
              <w:top w:val="single" w:sz="4" w:space="0" w:color="auto"/>
              <w:left w:val="single" w:sz="4" w:space="0" w:color="auto"/>
              <w:bottom w:val="nil"/>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Y</w:t>
            </w:r>
            <w:r w:rsidRPr="003D66A0">
              <w:rPr>
                <w:rFonts w:ascii="Times New Roman" w:eastAsia="ヒラギノ明朝 Pro W3" w:hAnsi="Times" w:cs="Times New Roman"/>
                <w:b/>
                <w:sz w:val="18"/>
                <w:szCs w:val="18"/>
              </w:rPr>
              <w:t>ö</w:t>
            </w:r>
            <w:r w:rsidRPr="003D66A0">
              <w:rPr>
                <w:rFonts w:ascii="Times New Roman" w:eastAsia="ヒラギノ明朝 Pro W3" w:hAnsi="Times" w:cs="Times New Roman"/>
                <w:b/>
                <w:sz w:val="18"/>
                <w:szCs w:val="18"/>
              </w:rPr>
              <w:t>netmelikte De</w:t>
            </w:r>
            <w:r w:rsidRPr="003D66A0">
              <w:rPr>
                <w:rFonts w:ascii="Times New Roman" w:eastAsia="ヒラギノ明朝 Pro W3" w:hAnsi="Times" w:cs="Times New Roman"/>
                <w:b/>
                <w:sz w:val="18"/>
                <w:szCs w:val="18"/>
              </w:rPr>
              <w:t>ğ</w:t>
            </w:r>
            <w:r w:rsidRPr="003D66A0">
              <w:rPr>
                <w:rFonts w:ascii="Times New Roman" w:eastAsia="ヒラギノ明朝 Pro W3" w:hAnsi="Times" w:cs="Times New Roman"/>
                <w:b/>
                <w:sz w:val="18"/>
                <w:szCs w:val="18"/>
              </w:rPr>
              <w:t>i</w:t>
            </w:r>
            <w:r w:rsidRPr="003D66A0">
              <w:rPr>
                <w:rFonts w:ascii="Times New Roman" w:eastAsia="ヒラギノ明朝 Pro W3" w:hAnsi="Times" w:cs="Times New Roman"/>
                <w:b/>
                <w:sz w:val="18"/>
                <w:szCs w:val="18"/>
              </w:rPr>
              <w:t>ş</w:t>
            </w:r>
            <w:r w:rsidRPr="003D66A0">
              <w:rPr>
                <w:rFonts w:ascii="Times New Roman" w:eastAsia="ヒラギノ明朝 Pro W3" w:hAnsi="Times" w:cs="Times New Roman"/>
                <w:b/>
                <w:sz w:val="18"/>
                <w:szCs w:val="18"/>
              </w:rPr>
              <w:t>iklik Yapan Y</w:t>
            </w:r>
            <w:r w:rsidRPr="003D66A0">
              <w:rPr>
                <w:rFonts w:ascii="Times New Roman" w:eastAsia="ヒラギノ明朝 Pro W3" w:hAnsi="Times" w:cs="Times New Roman"/>
                <w:b/>
                <w:sz w:val="18"/>
                <w:szCs w:val="18"/>
              </w:rPr>
              <w:t>ö</w:t>
            </w:r>
            <w:r w:rsidRPr="003D66A0">
              <w:rPr>
                <w:rFonts w:ascii="Times New Roman" w:eastAsia="ヒラギノ明朝 Pro W3" w:hAnsi="Times" w:cs="Times New Roman"/>
                <w:b/>
                <w:sz w:val="18"/>
                <w:szCs w:val="18"/>
              </w:rPr>
              <w:t>netmeliklerin Yay</w:t>
            </w:r>
            <w:r w:rsidRPr="003D66A0">
              <w:rPr>
                <w:rFonts w:ascii="Times New Roman" w:eastAsia="ヒラギノ明朝 Pro W3" w:hAnsi="Times" w:cs="Times New Roman"/>
                <w:b/>
                <w:sz w:val="18"/>
                <w:szCs w:val="18"/>
              </w:rPr>
              <w:t>ı</w:t>
            </w:r>
            <w:r w:rsidRPr="003D66A0">
              <w:rPr>
                <w:rFonts w:ascii="Times New Roman" w:eastAsia="ヒラギノ明朝 Pro W3" w:hAnsi="Times" w:cs="Times New Roman"/>
                <w:b/>
                <w:sz w:val="18"/>
                <w:szCs w:val="18"/>
              </w:rPr>
              <w:t>mland</w:t>
            </w:r>
            <w:r w:rsidRPr="003D66A0">
              <w:rPr>
                <w:rFonts w:ascii="Times New Roman" w:eastAsia="ヒラギノ明朝 Pro W3" w:hAnsi="Times" w:cs="Times New Roman"/>
                <w:b/>
                <w:sz w:val="18"/>
                <w:szCs w:val="18"/>
              </w:rPr>
              <w:t>ığı</w:t>
            </w:r>
            <w:r w:rsidRPr="003D66A0">
              <w:rPr>
                <w:rFonts w:ascii="Times New Roman" w:eastAsia="ヒラギノ明朝 Pro W3" w:hAnsi="Times" w:cs="Times New Roman"/>
                <w:b/>
                <w:sz w:val="18"/>
                <w:szCs w:val="18"/>
              </w:rPr>
              <w:t xml:space="preserve"> Resm</w:t>
            </w:r>
            <w:r w:rsidRPr="003D66A0">
              <w:rPr>
                <w:rFonts w:ascii="Times New Roman" w:eastAsia="ヒラギノ明朝 Pro W3" w:hAnsi="Times" w:cs="Times New Roman"/>
                <w:b/>
                <w:sz w:val="18"/>
                <w:szCs w:val="18"/>
              </w:rPr>
              <w:t>î</w:t>
            </w:r>
            <w:r w:rsidRPr="003D66A0">
              <w:rPr>
                <w:rFonts w:ascii="Times New Roman" w:eastAsia="ヒラギノ明朝 Pro W3" w:hAnsi="Times" w:cs="Times New Roman"/>
                <w:b/>
                <w:sz w:val="18"/>
                <w:szCs w:val="18"/>
              </w:rPr>
              <w:t xml:space="preserve"> Gazete'nin</w:t>
            </w:r>
          </w:p>
        </w:tc>
      </w:tr>
      <w:tr w:rsidR="003D66A0" w:rsidRPr="003D66A0">
        <w:trPr>
          <w:jc w:val="center"/>
        </w:trPr>
        <w:tc>
          <w:tcPr>
            <w:tcW w:w="4254" w:type="dxa"/>
            <w:gridSpan w:val="2"/>
            <w:tcBorders>
              <w:top w:val="nil"/>
              <w:left w:val="single" w:sz="4" w:space="0" w:color="auto"/>
              <w:bottom w:val="single" w:sz="4" w:space="0" w:color="auto"/>
              <w:right w:val="nil"/>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b/>
                <w:sz w:val="18"/>
                <w:szCs w:val="18"/>
              </w:rPr>
            </w:pPr>
            <w:r w:rsidRPr="003D66A0">
              <w:rPr>
                <w:rFonts w:ascii="Times New Roman" w:eastAsia="ヒラギノ明朝 Pro W3" w:hAnsi="Times" w:cs="Times New Roman"/>
                <w:b/>
                <w:sz w:val="18"/>
                <w:szCs w:val="18"/>
              </w:rPr>
              <w:t>Say</w:t>
            </w:r>
            <w:r w:rsidRPr="003D66A0">
              <w:rPr>
                <w:rFonts w:ascii="Times New Roman" w:eastAsia="ヒラギノ明朝 Pro W3" w:hAnsi="Times" w:cs="Times New Roman"/>
                <w:b/>
                <w:sz w:val="18"/>
                <w:szCs w:val="18"/>
              </w:rPr>
              <w:t>ı</w:t>
            </w:r>
            <w:r w:rsidRPr="003D66A0">
              <w:rPr>
                <w:rFonts w:ascii="Times New Roman" w:eastAsia="ヒラギノ明朝 Pro W3" w:hAnsi="Times" w:cs="Times New Roman"/>
                <w:b/>
                <w:sz w:val="18"/>
                <w:szCs w:val="18"/>
              </w:rPr>
              <w:t>s</w:t>
            </w:r>
            <w:r w:rsidRPr="003D66A0">
              <w:rPr>
                <w:rFonts w:ascii="Times New Roman" w:eastAsia="ヒラギノ明朝 Pro W3" w:hAnsi="Times" w:cs="Times New Roman"/>
                <w:b/>
                <w:sz w:val="18"/>
                <w:szCs w:val="18"/>
              </w:rPr>
              <w:t>ı</w:t>
            </w:r>
          </w:p>
        </w:tc>
      </w:tr>
      <w:tr w:rsidR="003D66A0" w:rsidRPr="003D66A0">
        <w:trPr>
          <w:jc w:val="center"/>
        </w:trPr>
        <w:tc>
          <w:tcPr>
            <w:tcW w:w="437"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r w:rsidRPr="003D66A0">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3D66A0">
              <w:rPr>
                <w:rFonts w:ascii="Times New Roman" w:eastAsia="ヒラギノ明朝 Pro W3" w:hAnsi="Times" w:cs="Times New Roman"/>
                <w:sz w:val="18"/>
                <w:szCs w:val="18"/>
              </w:rPr>
              <w:t>2/12/2011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r w:rsidRPr="003D66A0">
              <w:rPr>
                <w:rFonts w:ascii="Times New Roman" w:eastAsia="ヒラギノ明朝 Pro W3" w:hAnsi="Times" w:cs="Times New Roman"/>
                <w:sz w:val="18"/>
                <w:szCs w:val="18"/>
              </w:rPr>
              <w:t>28130</w:t>
            </w:r>
          </w:p>
        </w:tc>
      </w:tr>
      <w:tr w:rsidR="003D66A0" w:rsidRPr="003D66A0">
        <w:trPr>
          <w:jc w:val="center"/>
        </w:trPr>
        <w:tc>
          <w:tcPr>
            <w:tcW w:w="437"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r w:rsidRPr="003D66A0">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3D66A0">
              <w:rPr>
                <w:rFonts w:ascii="Times New Roman" w:eastAsia="ヒラギノ明朝 Pro W3" w:hAnsi="Times" w:cs="Times New Roman"/>
                <w:sz w:val="18"/>
                <w:szCs w:val="18"/>
              </w:rPr>
              <w:t>2/5/2012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D66A0" w:rsidRPr="003D66A0" w:rsidRDefault="003D66A0" w:rsidP="003D66A0">
            <w:pPr>
              <w:tabs>
                <w:tab w:val="left" w:pos="566"/>
              </w:tabs>
              <w:spacing w:after="0" w:line="240" w:lineRule="exact"/>
              <w:jc w:val="center"/>
              <w:rPr>
                <w:rFonts w:ascii="Times New Roman" w:eastAsia="ヒラギノ明朝 Pro W3" w:hAnsi="Times" w:cs="Times New Roman"/>
                <w:sz w:val="18"/>
                <w:szCs w:val="18"/>
              </w:rPr>
            </w:pPr>
            <w:r w:rsidRPr="003D66A0">
              <w:rPr>
                <w:rFonts w:ascii="Times New Roman" w:eastAsia="ヒラギノ明朝 Pro W3" w:hAnsi="Times" w:cs="Times New Roman"/>
                <w:sz w:val="18"/>
                <w:szCs w:val="18"/>
              </w:rPr>
              <w:t>28280</w:t>
            </w:r>
          </w:p>
        </w:tc>
      </w:tr>
    </w:tbl>
    <w:p w:rsidR="003D66A0" w:rsidRDefault="003D66A0" w:rsidP="004516C8">
      <w:pPr>
        <w:spacing w:after="0" w:line="280" w:lineRule="atLeast"/>
        <w:rPr>
          <w:rFonts w:ascii="Times New Roman" w:hAnsi="Times New Roman" w:cs="Times New Roman"/>
          <w:b/>
          <w:sz w:val="20"/>
          <w:szCs w:val="20"/>
          <w:u w:val="single"/>
        </w:rPr>
      </w:pPr>
    </w:p>
    <w:sectPr w:rsidR="003D66A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610D"/>
    <w:rsid w:val="00226FDD"/>
    <w:rsid w:val="00230137"/>
    <w:rsid w:val="002344DB"/>
    <w:rsid w:val="00255D66"/>
    <w:rsid w:val="002566FC"/>
    <w:rsid w:val="002B4AF0"/>
    <w:rsid w:val="002B4EC9"/>
    <w:rsid w:val="00304A58"/>
    <w:rsid w:val="00317A78"/>
    <w:rsid w:val="00337C5F"/>
    <w:rsid w:val="0037350C"/>
    <w:rsid w:val="003C0347"/>
    <w:rsid w:val="003C1F4E"/>
    <w:rsid w:val="003D66A0"/>
    <w:rsid w:val="003F1FF2"/>
    <w:rsid w:val="00401901"/>
    <w:rsid w:val="00421AF3"/>
    <w:rsid w:val="00432B0B"/>
    <w:rsid w:val="00436ABA"/>
    <w:rsid w:val="004455DE"/>
    <w:rsid w:val="004516C8"/>
    <w:rsid w:val="004814E7"/>
    <w:rsid w:val="0049683C"/>
    <w:rsid w:val="004D486C"/>
    <w:rsid w:val="004E1C0B"/>
    <w:rsid w:val="00510570"/>
    <w:rsid w:val="00511677"/>
    <w:rsid w:val="005255AB"/>
    <w:rsid w:val="00537F0B"/>
    <w:rsid w:val="0055250B"/>
    <w:rsid w:val="005B42A5"/>
    <w:rsid w:val="005D4E02"/>
    <w:rsid w:val="005E22C7"/>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24D2"/>
    <w:rsid w:val="00CA6EEC"/>
    <w:rsid w:val="00CB2C30"/>
    <w:rsid w:val="00CE72C5"/>
    <w:rsid w:val="00CF7B26"/>
    <w:rsid w:val="00D0464C"/>
    <w:rsid w:val="00D051D6"/>
    <w:rsid w:val="00D42B71"/>
    <w:rsid w:val="00D440A9"/>
    <w:rsid w:val="00D62F67"/>
    <w:rsid w:val="00D656CE"/>
    <w:rsid w:val="00D7264A"/>
    <w:rsid w:val="00D8790C"/>
    <w:rsid w:val="00D9034D"/>
    <w:rsid w:val="00D90CFD"/>
    <w:rsid w:val="00D91C31"/>
    <w:rsid w:val="00D94869"/>
    <w:rsid w:val="00DA3D4C"/>
    <w:rsid w:val="00DB5650"/>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341</Words>
  <Characters>1949</Characters>
  <Application>Microsoft Office Word</Application>
  <DocSecurity>0</DocSecurity>
  <Lines>16</Lines>
  <Paragraphs>4</Paragraphs>
  <ScaleCrop>false</ScaleCrop>
  <Company>TURMOB</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156</cp:revision>
  <cp:lastPrinted>2013-01-07T06:33:00Z</cp:lastPrinted>
  <dcterms:created xsi:type="dcterms:W3CDTF">2013-01-02T06:53:00Z</dcterms:created>
  <dcterms:modified xsi:type="dcterms:W3CDTF">2013-02-11T06:34:00Z</dcterms:modified>
</cp:coreProperties>
</file>