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44336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28566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14FD5" w:rsidRPr="00614FD5" w:rsidRDefault="00614FD5" w:rsidP="00614FD5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614FD5">
        <w:rPr>
          <w:b/>
          <w:sz w:val="18"/>
          <w:szCs w:val="18"/>
          <w:u w:val="none"/>
        </w:rPr>
        <w:t>Maliye Bakanl</w:t>
      </w:r>
      <w:r w:rsidRPr="00614FD5">
        <w:rPr>
          <w:b/>
          <w:sz w:val="18"/>
          <w:szCs w:val="18"/>
          <w:u w:val="none"/>
        </w:rPr>
        <w:t>ığı</w:t>
      </w:r>
      <w:r w:rsidRPr="00614FD5">
        <w:rPr>
          <w:b/>
          <w:sz w:val="18"/>
          <w:szCs w:val="18"/>
          <w:u w:val="none"/>
        </w:rPr>
        <w:t>ndan:</w:t>
      </w:r>
    </w:p>
    <w:p w:rsidR="00614FD5" w:rsidRDefault="00614FD5" w:rsidP="00614FD5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VERG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USUL KANUNU GENEL TEBL</w:t>
      </w:r>
      <w:r>
        <w:rPr>
          <w:sz w:val="18"/>
          <w:szCs w:val="18"/>
        </w:rPr>
        <w:t>İĞİ</w:t>
      </w:r>
    </w:p>
    <w:p w:rsidR="00614FD5" w:rsidRDefault="00614FD5" w:rsidP="00614FD5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(SIRA NO: 424)</w:t>
      </w:r>
    </w:p>
    <w:p w:rsidR="00614FD5" w:rsidRDefault="00614FD5" w:rsidP="00614FD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Giri</w:t>
      </w:r>
      <w:r>
        <w:rPr>
          <w:b/>
          <w:sz w:val="18"/>
          <w:szCs w:val="18"/>
        </w:rPr>
        <w:t>ş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Elektronik fatura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belirleyen ve </w:t>
      </w:r>
      <w:proofErr w:type="gramStart"/>
      <w:r>
        <w:rPr>
          <w:sz w:val="18"/>
          <w:szCs w:val="18"/>
        </w:rPr>
        <w:t>5/3/2010</w:t>
      </w:r>
      <w:proofErr w:type="gramEnd"/>
      <w:r>
        <w:rPr>
          <w:sz w:val="18"/>
          <w:szCs w:val="18"/>
        </w:rPr>
        <w:t xml:space="preserve"> tarihli ve 27512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397) ile Enerji Piyasas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Kurumundan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elektrik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algaz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irketlerinden ve organize sanayi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lgesi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iliklerinden; elektrik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algaz abone bilgileri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bilgilerinin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klamalara yer verilen ve 7/12/2012 tarihli ve 28490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420)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m/sat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konusunu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etmektedir.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14FD5" w:rsidRDefault="00614FD5" w:rsidP="00614FD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2. 397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ra Numaral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Vergi Usul Kanunu Genel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inde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iklikler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2.1.</w:t>
      </w:r>
      <w:r>
        <w:rPr>
          <w:sz w:val="18"/>
          <w:szCs w:val="18"/>
        </w:rPr>
        <w:t xml:space="preserve"> 397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proofErr w:type="gramStart"/>
      <w:r>
        <w:rPr>
          <w:sz w:val="18"/>
          <w:szCs w:val="18"/>
        </w:rPr>
        <w:t>28/6/2012</w:t>
      </w:r>
      <w:proofErr w:type="gramEnd"/>
      <w:r>
        <w:rPr>
          <w:sz w:val="18"/>
          <w:szCs w:val="18"/>
        </w:rPr>
        <w:t xml:space="preserve"> tarihli ve 28337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416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14FD5" w:rsidRDefault="00614FD5" w:rsidP="00614FD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“</w:t>
      </w:r>
      <w:r>
        <w:rPr>
          <w:b/>
          <w:sz w:val="18"/>
          <w:szCs w:val="18"/>
        </w:rPr>
        <w:t>4. e-Fatura Uygulamas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ndan Yararlanma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4/1/1961</w:t>
      </w:r>
      <w:proofErr w:type="gramEnd"/>
      <w:r>
        <w:rPr>
          <w:sz w:val="18"/>
          <w:szCs w:val="18"/>
        </w:rPr>
        <w:t xml:space="preserve"> tarihli ve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Kanununun 232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fatura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zorunda olan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de getirilen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e-Fatura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 ve/veya alma izni verilmesi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(Tebli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yer alan istisna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zere)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Uygulamadan yararlanmak isteyen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www.</w:t>
      </w:r>
      <w:proofErr w:type="spellStart"/>
      <w:r>
        <w:rPr>
          <w:sz w:val="18"/>
          <w:szCs w:val="18"/>
        </w:rPr>
        <w:t>efatura</w:t>
      </w:r>
      <w:proofErr w:type="spellEnd"/>
      <w:r>
        <w:rPr>
          <w:sz w:val="18"/>
          <w:szCs w:val="18"/>
        </w:rPr>
        <w:t>.gov.tr internet adresinde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lavuzuna uygun olarak yerine getirmeleri gerekmektedir.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bulunan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mlanacak ve aktive edilecektir.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e-Fatura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 ve/veya alma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olmayan ve e-fatura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ndermek ve/veya almak isteyen kurum,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 uygulama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durumu ve uygulamadan yararlanma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</w:t>
      </w:r>
      <w:proofErr w:type="gramEnd"/>
      <w:r>
        <w:rPr>
          <w:sz w:val="18"/>
          <w:szCs w:val="18"/>
        </w:rPr>
        <w:t>,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belirlenecektir.</w:t>
      </w:r>
      <w:r>
        <w:rPr>
          <w:sz w:val="18"/>
          <w:szCs w:val="18"/>
        </w:rPr>
        <w:t>”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2.2.</w:t>
      </w:r>
      <w:r>
        <w:rPr>
          <w:sz w:val="18"/>
          <w:szCs w:val="18"/>
        </w:rPr>
        <w:t xml:space="preserve"> 397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5.1.1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 xml:space="preserve">Uygulamaya </w:t>
      </w:r>
      <w:proofErr w:type="gramStart"/>
      <w:r>
        <w:rPr>
          <w:sz w:val="18"/>
          <w:szCs w:val="18"/>
        </w:rPr>
        <w:t>entegre olmak</w:t>
      </w:r>
      <w:proofErr w:type="gramEnd"/>
      <w:r>
        <w:rPr>
          <w:sz w:val="18"/>
          <w:szCs w:val="18"/>
        </w:rPr>
        <w:t xml:space="preserve"> isteyenler,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sistemlerinde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tamamlad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ktan sonra, sistemlerini ve fatura ile ilgili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klayan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manlarla birlikte www.</w:t>
      </w:r>
      <w:proofErr w:type="spellStart"/>
      <w:r>
        <w:rPr>
          <w:sz w:val="18"/>
          <w:szCs w:val="18"/>
        </w:rPr>
        <w:t>efatura</w:t>
      </w:r>
      <w:proofErr w:type="spellEnd"/>
      <w:r>
        <w:rPr>
          <w:sz w:val="18"/>
          <w:szCs w:val="18"/>
        </w:rPr>
        <w:t>.gov.tr internet adresinde yer alan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lavuzuna uygun olarak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bulunacaklard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r>
        <w:rPr>
          <w:sz w:val="18"/>
          <w:szCs w:val="18"/>
        </w:rPr>
        <w:t>”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2.3.</w:t>
      </w:r>
      <w:r>
        <w:rPr>
          <w:sz w:val="18"/>
          <w:szCs w:val="18"/>
        </w:rPr>
        <w:t xml:space="preserve"> 397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birinci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“</w:t>
      </w:r>
      <w:r>
        <w:rPr>
          <w:sz w:val="18"/>
          <w:szCs w:val="18"/>
        </w:rPr>
        <w:t>Vergi Usul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zenlemeler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letmelere ve istemeleri halinde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kelleflere ait veri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n,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garanti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gerekli durumlarda gizlili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fonksiyonlar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yerine getirilmesi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ve e-Fatura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olan Mali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TAK-UEKAE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rlanan elektronik sertifika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ifade etmektedir.</w:t>
      </w:r>
      <w:r>
        <w:rPr>
          <w:sz w:val="18"/>
          <w:szCs w:val="18"/>
        </w:rPr>
        <w:t>”</w:t>
      </w:r>
      <w:proofErr w:type="gramEnd"/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2.4. </w:t>
      </w:r>
      <w:r>
        <w:rPr>
          <w:sz w:val="18"/>
          <w:szCs w:val="18"/>
        </w:rPr>
        <w:t>397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son paragraf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paragraf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e-Fatura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yararlanan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kurum,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letmelerin e-faturalar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kendi mali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onaylamalar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nitelikli elektronik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imzalamalar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esast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e-fatura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spellStart"/>
      <w:r>
        <w:rPr>
          <w:sz w:val="18"/>
          <w:szCs w:val="18"/>
        </w:rPr>
        <w:t>entegrat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 xml:space="preserve">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kullananlar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zenlenecek e-faturalar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spellStart"/>
      <w:r>
        <w:rPr>
          <w:sz w:val="18"/>
          <w:szCs w:val="18"/>
        </w:rPr>
        <w:t>entegrat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mali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izin verebilirler.</w:t>
      </w:r>
      <w:r>
        <w:rPr>
          <w:sz w:val="18"/>
          <w:szCs w:val="18"/>
        </w:rPr>
        <w:t>”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14FD5" w:rsidRDefault="00614FD5" w:rsidP="00614FD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3. 420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ra Numaral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Vergi Usul Kanunu Genel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inde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iklik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3.1.</w:t>
      </w:r>
      <w:r>
        <w:rPr>
          <w:sz w:val="18"/>
          <w:szCs w:val="18"/>
        </w:rPr>
        <w:t xml:space="preserve"> 420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5. Bilgi verme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 zaman</w:t>
      </w:r>
      <w:r>
        <w:rPr>
          <w:sz w:val="18"/>
          <w:szCs w:val="18"/>
        </w:rPr>
        <w:t>ı”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proofErr w:type="gramStart"/>
      <w:r>
        <w:rPr>
          <w:sz w:val="18"/>
          <w:szCs w:val="18"/>
        </w:rPr>
        <w:t>5.1</w:t>
      </w:r>
      <w:proofErr w:type="gramEnd"/>
      <w:r>
        <w:rPr>
          <w:sz w:val="18"/>
          <w:szCs w:val="18"/>
        </w:rPr>
        <w:t>. ve 5.2. bentleri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5.1. 1 Ocak 2013 tarihi itibariyle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yeri elektrik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algaz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bilgileri,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ketim bilgilerinin okundu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izleyen ikinci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ond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saat 24.00'e kadar elektronik ortamda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(Gelir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BTRANS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gerekmektedir.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5.2. 1 Ocak 2013 tarihi itibariyle yeni tesis edilen,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veya kapanan aboneliklere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abone bilgileri, abonelik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leminin tesis edilmesini izleyen ikinci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ond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saat 24.00'e kadar elektronik ortamda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na (Gelir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BTRANS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yla)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 gerekmektedir.</w:t>
      </w:r>
      <w:r>
        <w:rPr>
          <w:sz w:val="18"/>
          <w:szCs w:val="18"/>
        </w:rPr>
        <w:t>”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4.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ymetli Madenler Arac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Kurulu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ymetli Maden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m/Sat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nda Belge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zeni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5/4/1994</w:t>
      </w:r>
      <w:proofErr w:type="gramEnd"/>
      <w:r>
        <w:rPr>
          <w:sz w:val="18"/>
          <w:szCs w:val="18"/>
        </w:rPr>
        <w:t xml:space="preserve"> tarihli ve 21896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226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1/5/1994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7/8/1989 tarihli ve 89/14391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Paras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 Koruma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 ile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yetkili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esseselerce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 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de belirlenen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213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zorunlu belgeler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Bil</w:t>
      </w:r>
      <w:r>
        <w:rPr>
          <w:sz w:val="18"/>
          <w:szCs w:val="18"/>
        </w:rPr>
        <w:t>â</w:t>
      </w:r>
      <w:r>
        <w:rPr>
          <w:sz w:val="18"/>
          <w:szCs w:val="18"/>
        </w:rPr>
        <w:t>hare, Vergi Usul Kanununun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kerrer 257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yetkiye istinaden, </w:t>
      </w:r>
      <w:proofErr w:type="gramStart"/>
      <w:r>
        <w:rPr>
          <w:sz w:val="18"/>
          <w:szCs w:val="18"/>
        </w:rPr>
        <w:t>5/1/2008</w:t>
      </w:r>
      <w:proofErr w:type="gramEnd"/>
      <w:r>
        <w:rPr>
          <w:sz w:val="18"/>
          <w:szCs w:val="18"/>
        </w:rPr>
        <w:t xml:space="preserve"> tarihli ve 26747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379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22/9/2006 tarihli ve 26297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Paras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 Koruma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2006-32/32 No.lu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ile kendilerine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m/sat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yapma yetkisi verilen yetkili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esseselere, 1/3/2008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1/8/2008</w:t>
      </w:r>
      <w:proofErr w:type="gramEnd"/>
      <w:r>
        <w:rPr>
          <w:sz w:val="18"/>
          <w:szCs w:val="18"/>
        </w:rPr>
        <w:t xml:space="preserve"> tarihli ve 26954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385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de, yetkili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esseselerin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belgeleri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m/sat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m/sat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 olarak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belgeler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viz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tek belge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zenlemesi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Vergi Usul Kanununun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kerrer 257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(1)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bendi ile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 ve meslek gruplar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itibariyle muhasebe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tespit etmeye, bu Kanuna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tutulmakta olan defter ve belgeler ile bunlara ilaveten tutulmas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zenlenmesini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defter ve belgelerin mahiyet,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 ve ihtiva etmesi zorunlu bilgileri belirlemeye ve bunlarda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yapmaya yetkili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Mezk</w:t>
      </w:r>
      <w:r>
        <w:rPr>
          <w:sz w:val="18"/>
          <w:szCs w:val="18"/>
        </w:rPr>
        <w:t>û</w:t>
      </w:r>
      <w:r>
        <w:rPr>
          <w:sz w:val="18"/>
          <w:szCs w:val="18"/>
        </w:rPr>
        <w:t>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yetkiye istinaden,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Paras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ymetini Koruma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32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Karara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Faaliyet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proofErr w:type="gramStart"/>
      <w:r>
        <w:rPr>
          <w:sz w:val="18"/>
          <w:szCs w:val="18"/>
        </w:rPr>
        <w:t>21/5/2007</w:t>
      </w:r>
      <w:proofErr w:type="gramEnd"/>
      <w:r>
        <w:rPr>
          <w:sz w:val="18"/>
          <w:szCs w:val="18"/>
        </w:rPr>
        <w:t xml:space="preserve"> tarihli ve 26528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stanbul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Borsas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izin verilen, kendi nam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nam ve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kendi nam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ymetli maden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retimi veya ticareti ile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tigal eden anonim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>,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da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Belgesi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bu belgelerin Vergi Usul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gereken belgeler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Vergi dairesi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matbaalar ile noterler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tasdiki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m/Sat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Belgelerinin birer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379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ekinde (EK: 1, 2) bulunmakta olup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rnek belgelerde bulunan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Yetkili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essesenin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ibaresi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zorunluluk getirilen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ymetli Madenler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  <w:proofErr w:type="gramEnd"/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 zorunlulu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getirilen belgelere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379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birinci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 belirtilen usul ve esaslar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belirtilen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uygun olarak belge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veya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tespiti halinde,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kellefler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Vergi Usul Kanununda yer alan cezalar tatbik edilecektir.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14FD5" w:rsidRDefault="00614FD5" w:rsidP="00614FD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14FD5" w:rsidRDefault="00614FD5" w:rsidP="00614FD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5.1.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14FD5" w:rsidRDefault="00614FD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14FD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7F0B"/>
    <w:rsid w:val="00541D63"/>
    <w:rsid w:val="0055250B"/>
    <w:rsid w:val="00576861"/>
    <w:rsid w:val="005A76C2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14FD5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1288</Words>
  <Characters>7346</Characters>
  <Application>Microsoft Office Word</Application>
  <DocSecurity>0</DocSecurity>
  <Lines>61</Lines>
  <Paragraphs>17</Paragraphs>
  <ScaleCrop>false</ScaleCrop>
  <Company>TURMOB</Company>
  <LinksUpToDate>false</LinksUpToDate>
  <CharactersWithSpaces>8617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185</cp:revision>
  <cp:lastPrinted>2013-01-07T06:33:00Z</cp:lastPrinted>
  <dcterms:created xsi:type="dcterms:W3CDTF">2013-01-02T06:53:00Z</dcterms:created>
  <dcterms:modified xsi:type="dcterms:W3CDTF">2013-02-21T06:36:00Z</dcterms:modified>
</cp:coreProperties>
</file>