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26E3F" w:rsidRDefault="00A13F61" w:rsidP="00D26E3F">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785D8B" w:rsidRPr="00D26E3F">
        <w:rPr>
          <w:rFonts w:ascii="Times New Roman" w:hAnsi="Times New Roman" w:cs="Times New Roman"/>
          <w:b/>
          <w:sz w:val="20"/>
          <w:szCs w:val="20"/>
          <w:u w:val="single"/>
        </w:rPr>
        <w:t xml:space="preserve"> Şubat</w:t>
      </w:r>
      <w:r w:rsidR="0049683C" w:rsidRPr="00D26E3F">
        <w:rPr>
          <w:rFonts w:ascii="Times New Roman" w:hAnsi="Times New Roman" w:cs="Times New Roman"/>
          <w:b/>
          <w:sz w:val="20"/>
          <w:szCs w:val="20"/>
          <w:u w:val="single"/>
        </w:rPr>
        <w:t xml:space="preserve"> 2013,</w:t>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317A78"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 xml:space="preserve">   </w:t>
      </w:r>
      <w:r w:rsidR="004516C8" w:rsidRPr="00D26E3F">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28571</w:t>
      </w:r>
      <w:proofErr w:type="gramEnd"/>
    </w:p>
    <w:p w:rsidR="00413165" w:rsidRDefault="00413165" w:rsidP="00D26E3F">
      <w:pPr>
        <w:spacing w:after="0" w:line="300" w:lineRule="atLeast"/>
        <w:rPr>
          <w:rFonts w:ascii="Times New Roman" w:hAnsi="Times New Roman" w:cs="Times New Roman"/>
          <w:b/>
          <w:sz w:val="20"/>
          <w:szCs w:val="20"/>
          <w:u w:val="single"/>
        </w:rPr>
      </w:pPr>
    </w:p>
    <w:p w:rsidR="000B4C86" w:rsidRDefault="00530BB6" w:rsidP="000B4C86">
      <w:pPr>
        <w:tabs>
          <w:tab w:val="left" w:pos="566"/>
          <w:tab w:val="center" w:pos="3543"/>
        </w:tabs>
        <w:spacing w:after="0" w:line="240" w:lineRule="exact"/>
        <w:rPr>
          <w:rFonts w:ascii="Times New Roman" w:eastAsia="Times New Roman" w:hAnsi="Times New Roman" w:cs="Times New Roman"/>
          <w:b/>
          <w:sz w:val="18"/>
          <w:lang w:val="en-GB" w:eastAsia="tr-TR"/>
        </w:rPr>
      </w:pPr>
      <w:r w:rsidRPr="00530BB6">
        <w:rPr>
          <w:rFonts w:ascii="Times New Roman" w:eastAsia="Times New Roman" w:hAnsi="Times New Roman" w:cs="Times New Roman"/>
          <w:b/>
          <w:sz w:val="18"/>
          <w:lang w:val="en-GB" w:eastAsia="tr-TR"/>
        </w:rPr>
        <w:tab/>
      </w:r>
    </w:p>
    <w:p w:rsidR="000B4C86" w:rsidRDefault="000B4C86" w:rsidP="000B4C86">
      <w:pPr>
        <w:pStyle w:val="3-NormalYaz"/>
        <w:spacing w:line="240" w:lineRule="exact"/>
        <w:ind w:firstLine="566"/>
        <w:rPr>
          <w:rFonts w:hAnsi="Times New Roman"/>
          <w:sz w:val="18"/>
          <w:szCs w:val="18"/>
          <w:u w:val="single"/>
        </w:rPr>
      </w:pPr>
      <w:r>
        <w:rPr>
          <w:rFonts w:hAnsi="Times New Roman"/>
          <w:sz w:val="18"/>
          <w:szCs w:val="18"/>
          <w:u w:val="single"/>
        </w:rPr>
        <w:t>Maliye Bakanlığından:</w:t>
      </w:r>
    </w:p>
    <w:p w:rsidR="000B4C86" w:rsidRDefault="000B4C86" w:rsidP="000B4C86">
      <w:pPr>
        <w:pStyle w:val="3-NormalYaz"/>
        <w:spacing w:line="240" w:lineRule="exact"/>
        <w:jc w:val="center"/>
        <w:rPr>
          <w:rFonts w:hAnsi="Times New Roman"/>
          <w:b/>
          <w:sz w:val="18"/>
          <w:szCs w:val="18"/>
        </w:rPr>
      </w:pPr>
      <w:r>
        <w:rPr>
          <w:rFonts w:hAnsi="Times New Roman"/>
          <w:b/>
          <w:sz w:val="18"/>
          <w:szCs w:val="18"/>
        </w:rPr>
        <w:t>KATMA DEĞER VERGİSİ GENEL TEBLİĞİ</w:t>
      </w:r>
    </w:p>
    <w:p w:rsidR="000B4C86" w:rsidRDefault="000B4C86" w:rsidP="000B4C86">
      <w:pPr>
        <w:pStyle w:val="3-NormalYaz"/>
        <w:spacing w:line="240" w:lineRule="exact"/>
        <w:jc w:val="center"/>
        <w:rPr>
          <w:rFonts w:hAnsi="Times New Roman"/>
          <w:b/>
          <w:sz w:val="18"/>
          <w:szCs w:val="18"/>
        </w:rPr>
      </w:pPr>
      <w:r>
        <w:rPr>
          <w:rFonts w:hAnsi="Times New Roman"/>
          <w:b/>
          <w:sz w:val="18"/>
          <w:szCs w:val="18"/>
        </w:rPr>
        <w:t>(SERİ NO: 122)</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xml:space="preserve">3065 sayılı Katma Değer Vergisi (KDV) Kanununun 9 uncu maddesinin birinci fıkrasının verdiği yetki çerçevesinde </w:t>
      </w:r>
      <w:proofErr w:type="gramStart"/>
      <w:r>
        <w:rPr>
          <w:rFonts w:hAnsi="Times New Roman"/>
          <w:sz w:val="18"/>
          <w:szCs w:val="18"/>
        </w:rPr>
        <w:t>1/3/2013</w:t>
      </w:r>
      <w:proofErr w:type="gramEnd"/>
      <w:r>
        <w:rPr>
          <w:rFonts w:hAnsi="Times New Roman"/>
          <w:sz w:val="18"/>
          <w:szCs w:val="18"/>
        </w:rPr>
        <w:t xml:space="preserve"> tarihinden itibaren geçerli olmak üzere aşağıdaki açıklama ve düzenlemelerin yapılmasına gerek duyulmuştur.</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1. 117 Seri No.lu KDV Genel Tebliğinin;</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(3.3.1.) bölümünde yer alan “bakır, çinko ve alüminyum” ibareleri “bakır, çinko, alüminyum ve kurşun”,</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(3.3.2.) bölümünün başlığı “3.3.2. BAKIR, ÇİNKO, ALÜMİNYUM VE KURŞUN ÜRÜNLERİNİN TESLİMİ”,</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xml:space="preserve">- (3.3.2.1.) bölümünün birinci paragrafı, “Bakır ve alaşımlarından, çinko ve alaşımlarından, alüminyum ve alaşımlarından, kurşun ve alaşımlarından mamul, Tebliğin (3.3.2.2.) bölümünde belirtilen ürünlerin Tebliğin (3.1.2.) bölümünde sayılanlara tesliminde, (5/10) oranında KDV </w:t>
      </w:r>
      <w:proofErr w:type="spellStart"/>
      <w:r>
        <w:rPr>
          <w:rFonts w:hAnsi="Times New Roman"/>
          <w:sz w:val="18"/>
          <w:szCs w:val="18"/>
        </w:rPr>
        <w:t>tevkifatı</w:t>
      </w:r>
      <w:proofErr w:type="spellEnd"/>
      <w:r>
        <w:rPr>
          <w:rFonts w:hAnsi="Times New Roman"/>
          <w:sz w:val="18"/>
          <w:szCs w:val="18"/>
        </w:rPr>
        <w:t xml:space="preserve"> uygulanacaktır.”, </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xml:space="preserve">- (3.3.2.2.2.) bölümünde yer alan “Bakır, çinko ve alüminyum” ibareleri “Bakır, çinko, alüminyum ve kurşun” </w:t>
      </w:r>
    </w:p>
    <w:p w:rsidR="000B4C86" w:rsidRDefault="000B4C86" w:rsidP="000B4C86">
      <w:pPr>
        <w:pStyle w:val="3-NormalYaz"/>
        <w:spacing w:line="240" w:lineRule="exact"/>
        <w:ind w:firstLine="566"/>
        <w:rPr>
          <w:rFonts w:hAnsi="Times New Roman"/>
          <w:sz w:val="18"/>
          <w:szCs w:val="18"/>
        </w:rPr>
      </w:pPr>
      <w:proofErr w:type="gramStart"/>
      <w:r>
        <w:rPr>
          <w:rFonts w:hAnsi="Times New Roman"/>
          <w:sz w:val="18"/>
          <w:szCs w:val="18"/>
        </w:rPr>
        <w:t>şeklinde</w:t>
      </w:r>
      <w:proofErr w:type="gramEnd"/>
      <w:r>
        <w:rPr>
          <w:rFonts w:hAnsi="Times New Roman"/>
          <w:sz w:val="18"/>
          <w:szCs w:val="18"/>
        </w:rPr>
        <w:t>, (3.3.2.2.1.) bölümünün birinci paragrafı ise aşağıdaki şekilde değiştirilmiştir.</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xml:space="preserve"> “</w:t>
      </w:r>
      <w:proofErr w:type="spellStart"/>
      <w:r>
        <w:rPr>
          <w:rFonts w:hAnsi="Times New Roman"/>
          <w:sz w:val="18"/>
          <w:szCs w:val="18"/>
        </w:rPr>
        <w:t>Tevkifat</w:t>
      </w:r>
      <w:proofErr w:type="spellEnd"/>
      <w:r>
        <w:rPr>
          <w:rFonts w:hAnsi="Times New Roman"/>
          <w:sz w:val="18"/>
          <w:szCs w:val="18"/>
        </w:rPr>
        <w:t xml:space="preserve"> kapsamına bakır ve alaşımlarından, çinko ve alaşımlarından, alüminyum ve alaşımlarından, kurşun ve alaşımlarından mamul; anot, katot, granül, </w:t>
      </w:r>
      <w:proofErr w:type="spellStart"/>
      <w:r>
        <w:rPr>
          <w:rFonts w:hAnsi="Times New Roman"/>
          <w:sz w:val="18"/>
          <w:szCs w:val="18"/>
        </w:rPr>
        <w:t>filmaşin</w:t>
      </w:r>
      <w:proofErr w:type="spellEnd"/>
      <w:r>
        <w:rPr>
          <w:rFonts w:hAnsi="Times New Roman"/>
          <w:sz w:val="18"/>
          <w:szCs w:val="18"/>
        </w:rPr>
        <w:t xml:space="preserve">, </w:t>
      </w:r>
      <w:proofErr w:type="gramStart"/>
      <w:r>
        <w:rPr>
          <w:rFonts w:hAnsi="Times New Roman"/>
          <w:sz w:val="18"/>
          <w:szCs w:val="18"/>
        </w:rPr>
        <w:t>profil</w:t>
      </w:r>
      <w:proofErr w:type="gramEnd"/>
      <w:r>
        <w:rPr>
          <w:rFonts w:hAnsi="Times New Roman"/>
          <w:sz w:val="18"/>
          <w:szCs w:val="18"/>
        </w:rPr>
        <w:t>, levha, tabaka, rulo, şerit, panel, sac, boru, pirinç çubuk, lama, her türlü tel ve benzerleri ile kurşun ve alaşımlarından mamul, tuğla, mühür, yaprak, plaka, folyo, pul, saçma, ızgara, toz, kurşun oksit, kurşun monoksit, kırmızı oksit ve benzerleri girmektedir.”</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2. 117 Seri No.lu KDV Genel Tebliğinin;</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xml:space="preserve">- (3.3.3.1.) ve (3.3.6.1.) bölümleri ile (3.3.3.2.2.) bölümünde yer alan Örnek 2’deki (9/10) oranları (5/10), </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xml:space="preserve">- </w:t>
      </w:r>
      <w:proofErr w:type="gramStart"/>
      <w:r>
        <w:rPr>
          <w:rFonts w:hAnsi="Times New Roman"/>
          <w:sz w:val="18"/>
          <w:szCs w:val="18"/>
        </w:rPr>
        <w:t>1/3/2013</w:t>
      </w:r>
      <w:proofErr w:type="gramEnd"/>
      <w:r>
        <w:rPr>
          <w:rFonts w:hAnsi="Times New Roman"/>
          <w:sz w:val="18"/>
          <w:szCs w:val="18"/>
        </w:rPr>
        <w:t xml:space="preserve"> tarihinden itibaren yapılacak iade taleplerine uygulanmak üzere (5.2.1.) ve (5.2.2.) bölümlerindeki (2.000 TL) tutarları (4.000 TL),</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(5.2.1.4.) ve (5.2.2.2.) bölümlerindeki “Bakır, çinko ve alüminyum ürünlerinin teslimi,” ibareleri “Bakır, çinko, alüminyum ve kurşun ürünlerinin teslimi”,</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xml:space="preserve">- (5.2.1.4.) bölümündeki “Metal, plastik, </w:t>
      </w:r>
      <w:proofErr w:type="gramStart"/>
      <w:r>
        <w:rPr>
          <w:rFonts w:hAnsi="Times New Roman"/>
          <w:sz w:val="18"/>
          <w:szCs w:val="18"/>
        </w:rPr>
        <w:t>kağıt</w:t>
      </w:r>
      <w:proofErr w:type="gramEnd"/>
      <w:r>
        <w:rPr>
          <w:rFonts w:hAnsi="Times New Roman"/>
          <w:sz w:val="18"/>
          <w:szCs w:val="18"/>
        </w:rPr>
        <w:t>, cam hurda ve atıklarının teslimi” ibaresi “Metal, plastik, lastik, kauçuk, kağıt, cam hurda ve atıklarının teslimi”,</w:t>
      </w:r>
    </w:p>
    <w:p w:rsidR="000B4C86" w:rsidRDefault="000B4C86" w:rsidP="000B4C86">
      <w:pPr>
        <w:pStyle w:val="3-NormalYaz"/>
        <w:spacing w:line="240" w:lineRule="exact"/>
        <w:ind w:firstLine="566"/>
        <w:rPr>
          <w:rFonts w:hAnsi="Times New Roman"/>
          <w:sz w:val="18"/>
          <w:szCs w:val="18"/>
        </w:rPr>
      </w:pPr>
      <w:proofErr w:type="gramStart"/>
      <w:r>
        <w:rPr>
          <w:rFonts w:hAnsi="Times New Roman"/>
          <w:sz w:val="18"/>
          <w:szCs w:val="18"/>
        </w:rPr>
        <w:t>şeklinde</w:t>
      </w:r>
      <w:proofErr w:type="gramEnd"/>
      <w:r>
        <w:rPr>
          <w:rFonts w:hAnsi="Times New Roman"/>
          <w:sz w:val="18"/>
          <w:szCs w:val="18"/>
        </w:rPr>
        <w:t xml:space="preserve"> değiştirilmiştir.</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3. 117 Seri No.lu KDV Genel Tebliğinin (5.2.1.1.) bölümünün sonuna aşağıdaki paragraflar eklenmiştir:</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“1 No.lu KDV Beyannamesinde gösterilen ve mahsuben iade şartlarını taşıyan KDV iade alacağı, aynı döneme ilişkin 2 No.lu KDV Beyannamesine göre tahakkuk eden KDV borcuna mahsup edilebilecektir.</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 xml:space="preserve">Kısmi </w:t>
      </w:r>
      <w:proofErr w:type="spellStart"/>
      <w:r>
        <w:rPr>
          <w:rFonts w:hAnsi="Times New Roman"/>
          <w:sz w:val="18"/>
          <w:szCs w:val="18"/>
        </w:rPr>
        <w:t>tevkifat</w:t>
      </w:r>
      <w:proofErr w:type="spellEnd"/>
      <w:r>
        <w:rPr>
          <w:rFonts w:hAnsi="Times New Roman"/>
          <w:sz w:val="18"/>
          <w:szCs w:val="18"/>
        </w:rPr>
        <w:t xml:space="preserve"> uygulamasından kaynaklanan ve vergi inceleme raporuna göre sonuçlandırılan mahsuben iade taleplerinde, vergi inceleme raporu dışında diğer belgelerin tamamlanmış olması ve vergi inceleme raporunun olumlu gelmesi (rapor kısmen olumlu gelmişse olumlu gelen kısım itibariyle) kaydıyla iade talep dilekçesinin verildiği tarih itibariyle mahsup işlemi yapılacaktır. Bu durumda, mahsuben iade talep edilen vergi borcunun vade tarihinden vergi inceleme raporunun vergi dairesi kayıtlarına intikal ettiği tarihe kadar geçen süre için gecikme zammı hesaplanmayacaktır.”</w:t>
      </w:r>
    </w:p>
    <w:p w:rsidR="000B4C86" w:rsidRDefault="000B4C86" w:rsidP="000B4C86">
      <w:pPr>
        <w:pStyle w:val="3-NormalYaz"/>
        <w:spacing w:line="240" w:lineRule="exact"/>
        <w:ind w:firstLine="566"/>
        <w:rPr>
          <w:rFonts w:hAnsi="Times New Roman"/>
          <w:sz w:val="18"/>
          <w:szCs w:val="18"/>
        </w:rPr>
      </w:pPr>
      <w:r>
        <w:rPr>
          <w:rFonts w:hAnsi="Times New Roman"/>
          <w:sz w:val="18"/>
          <w:szCs w:val="18"/>
        </w:rPr>
        <w:t>Tebliğ olunur.</w:t>
      </w:r>
    </w:p>
    <w:p w:rsidR="00A13F61" w:rsidRDefault="00A13F61" w:rsidP="000B4C86">
      <w:pPr>
        <w:tabs>
          <w:tab w:val="left" w:pos="566"/>
          <w:tab w:val="center" w:pos="3543"/>
        </w:tabs>
        <w:spacing w:after="0" w:line="240" w:lineRule="exact"/>
        <w:rPr>
          <w:rFonts w:hAnsi="Times New Roman"/>
          <w:sz w:val="18"/>
          <w:szCs w:val="18"/>
        </w:rPr>
      </w:pPr>
      <w:r>
        <w:rPr>
          <w:rFonts w:hAnsi="Times New Roman"/>
          <w:sz w:val="18"/>
          <w:szCs w:val="18"/>
        </w:rPr>
        <w:t xml:space="preserve"> </w:t>
      </w:r>
    </w:p>
    <w:p w:rsidR="00A13F61" w:rsidRDefault="00A13F61" w:rsidP="001A1546">
      <w:pPr>
        <w:tabs>
          <w:tab w:val="left" w:pos="566"/>
          <w:tab w:val="center" w:pos="3543"/>
        </w:tabs>
        <w:spacing w:after="0" w:line="240" w:lineRule="exact"/>
        <w:rPr>
          <w:rFonts w:ascii="Times New Roman" w:eastAsia="Times New Roman" w:hAnsi="Times New Roman" w:cs="Times New Roman"/>
          <w:b/>
          <w:sz w:val="18"/>
          <w:lang w:val="en-GB" w:eastAsia="tr-TR"/>
        </w:rPr>
      </w:pPr>
    </w:p>
    <w:sectPr w:rsidR="00A13F6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4594C"/>
    <w:rsid w:val="0005336C"/>
    <w:rsid w:val="00054B10"/>
    <w:rsid w:val="00057917"/>
    <w:rsid w:val="000679A9"/>
    <w:rsid w:val="00070398"/>
    <w:rsid w:val="00071A2F"/>
    <w:rsid w:val="00085DDB"/>
    <w:rsid w:val="0009633A"/>
    <w:rsid w:val="000B3DBA"/>
    <w:rsid w:val="000B4C86"/>
    <w:rsid w:val="000C212A"/>
    <w:rsid w:val="001041EE"/>
    <w:rsid w:val="00120BB8"/>
    <w:rsid w:val="00121481"/>
    <w:rsid w:val="00173570"/>
    <w:rsid w:val="00174FC7"/>
    <w:rsid w:val="00190AD2"/>
    <w:rsid w:val="00192895"/>
    <w:rsid w:val="001A1546"/>
    <w:rsid w:val="001A17C8"/>
    <w:rsid w:val="001A3B7D"/>
    <w:rsid w:val="001A57F0"/>
    <w:rsid w:val="001B600B"/>
    <w:rsid w:val="001F4F88"/>
    <w:rsid w:val="001F5332"/>
    <w:rsid w:val="001F610D"/>
    <w:rsid w:val="002154BC"/>
    <w:rsid w:val="00226FDD"/>
    <w:rsid w:val="00230137"/>
    <w:rsid w:val="002344DB"/>
    <w:rsid w:val="00255D66"/>
    <w:rsid w:val="002566FC"/>
    <w:rsid w:val="002B4AF0"/>
    <w:rsid w:val="002B4EC9"/>
    <w:rsid w:val="00304A58"/>
    <w:rsid w:val="00317A78"/>
    <w:rsid w:val="00337C5F"/>
    <w:rsid w:val="0037350C"/>
    <w:rsid w:val="00387C71"/>
    <w:rsid w:val="003A313C"/>
    <w:rsid w:val="003C0347"/>
    <w:rsid w:val="003C1F4E"/>
    <w:rsid w:val="003D1A50"/>
    <w:rsid w:val="003D4706"/>
    <w:rsid w:val="003D66A0"/>
    <w:rsid w:val="003E78C7"/>
    <w:rsid w:val="003F1FF2"/>
    <w:rsid w:val="00401901"/>
    <w:rsid w:val="00413165"/>
    <w:rsid w:val="00421AF3"/>
    <w:rsid w:val="00422993"/>
    <w:rsid w:val="00432B0B"/>
    <w:rsid w:val="00436ABA"/>
    <w:rsid w:val="00443366"/>
    <w:rsid w:val="004455DE"/>
    <w:rsid w:val="004516C8"/>
    <w:rsid w:val="00476FCA"/>
    <w:rsid w:val="004814E7"/>
    <w:rsid w:val="0049683C"/>
    <w:rsid w:val="00497F13"/>
    <w:rsid w:val="004A3188"/>
    <w:rsid w:val="004D486C"/>
    <w:rsid w:val="004E1C0B"/>
    <w:rsid w:val="004F1958"/>
    <w:rsid w:val="00504EE5"/>
    <w:rsid w:val="00510570"/>
    <w:rsid w:val="00511677"/>
    <w:rsid w:val="005255AB"/>
    <w:rsid w:val="00530BB6"/>
    <w:rsid w:val="00537F0B"/>
    <w:rsid w:val="00541D63"/>
    <w:rsid w:val="0055250B"/>
    <w:rsid w:val="005577D6"/>
    <w:rsid w:val="00576861"/>
    <w:rsid w:val="005B42A5"/>
    <w:rsid w:val="005D4E02"/>
    <w:rsid w:val="005D7BE7"/>
    <w:rsid w:val="005E22C7"/>
    <w:rsid w:val="005E355C"/>
    <w:rsid w:val="005E4D72"/>
    <w:rsid w:val="005F4336"/>
    <w:rsid w:val="00601F8B"/>
    <w:rsid w:val="0060477D"/>
    <w:rsid w:val="00604F0D"/>
    <w:rsid w:val="00627628"/>
    <w:rsid w:val="006553FA"/>
    <w:rsid w:val="0066388C"/>
    <w:rsid w:val="00675F74"/>
    <w:rsid w:val="006A22BA"/>
    <w:rsid w:val="006E556D"/>
    <w:rsid w:val="006F662A"/>
    <w:rsid w:val="006F7738"/>
    <w:rsid w:val="0073019D"/>
    <w:rsid w:val="00743374"/>
    <w:rsid w:val="0075602A"/>
    <w:rsid w:val="0076633F"/>
    <w:rsid w:val="007716A4"/>
    <w:rsid w:val="00785D8B"/>
    <w:rsid w:val="007A478C"/>
    <w:rsid w:val="007B7523"/>
    <w:rsid w:val="007D4BEE"/>
    <w:rsid w:val="007E51B7"/>
    <w:rsid w:val="007E7E70"/>
    <w:rsid w:val="007F4DB8"/>
    <w:rsid w:val="007F4F70"/>
    <w:rsid w:val="00806D76"/>
    <w:rsid w:val="0082071C"/>
    <w:rsid w:val="00826BA4"/>
    <w:rsid w:val="008661A5"/>
    <w:rsid w:val="00880D43"/>
    <w:rsid w:val="00884BE9"/>
    <w:rsid w:val="008A4074"/>
    <w:rsid w:val="008C5F26"/>
    <w:rsid w:val="008C7794"/>
    <w:rsid w:val="008D1728"/>
    <w:rsid w:val="008E6F06"/>
    <w:rsid w:val="008F7815"/>
    <w:rsid w:val="00907F78"/>
    <w:rsid w:val="009356B6"/>
    <w:rsid w:val="0093645D"/>
    <w:rsid w:val="0095103D"/>
    <w:rsid w:val="00955508"/>
    <w:rsid w:val="00970F04"/>
    <w:rsid w:val="009F1AA3"/>
    <w:rsid w:val="009F2D7D"/>
    <w:rsid w:val="00A01D20"/>
    <w:rsid w:val="00A024CD"/>
    <w:rsid w:val="00A13F61"/>
    <w:rsid w:val="00A26545"/>
    <w:rsid w:val="00A50EA8"/>
    <w:rsid w:val="00A56163"/>
    <w:rsid w:val="00A75487"/>
    <w:rsid w:val="00A81FD8"/>
    <w:rsid w:val="00A830CB"/>
    <w:rsid w:val="00A86A0A"/>
    <w:rsid w:val="00A86C21"/>
    <w:rsid w:val="00A973F8"/>
    <w:rsid w:val="00AA56E8"/>
    <w:rsid w:val="00AF10DD"/>
    <w:rsid w:val="00B02D71"/>
    <w:rsid w:val="00B1197C"/>
    <w:rsid w:val="00B52F65"/>
    <w:rsid w:val="00B8184E"/>
    <w:rsid w:val="00B86757"/>
    <w:rsid w:val="00BE08E0"/>
    <w:rsid w:val="00BF2824"/>
    <w:rsid w:val="00BF3772"/>
    <w:rsid w:val="00C32D12"/>
    <w:rsid w:val="00C32E46"/>
    <w:rsid w:val="00C41774"/>
    <w:rsid w:val="00C5193A"/>
    <w:rsid w:val="00C524D2"/>
    <w:rsid w:val="00CA6EEC"/>
    <w:rsid w:val="00CB2C30"/>
    <w:rsid w:val="00CC508E"/>
    <w:rsid w:val="00CE72C5"/>
    <w:rsid w:val="00CF7B26"/>
    <w:rsid w:val="00D0464C"/>
    <w:rsid w:val="00D051D6"/>
    <w:rsid w:val="00D255BD"/>
    <w:rsid w:val="00D26E3F"/>
    <w:rsid w:val="00D34F04"/>
    <w:rsid w:val="00D42B71"/>
    <w:rsid w:val="00D440A9"/>
    <w:rsid w:val="00D62F67"/>
    <w:rsid w:val="00D656CE"/>
    <w:rsid w:val="00D7264A"/>
    <w:rsid w:val="00D8790C"/>
    <w:rsid w:val="00D9034D"/>
    <w:rsid w:val="00D90CFD"/>
    <w:rsid w:val="00D91C31"/>
    <w:rsid w:val="00D94869"/>
    <w:rsid w:val="00DA3D4C"/>
    <w:rsid w:val="00DB5650"/>
    <w:rsid w:val="00DB6EC4"/>
    <w:rsid w:val="00DC16CD"/>
    <w:rsid w:val="00DC2F04"/>
    <w:rsid w:val="00DE6463"/>
    <w:rsid w:val="00DE74FA"/>
    <w:rsid w:val="00DF361E"/>
    <w:rsid w:val="00DF6078"/>
    <w:rsid w:val="00E2042C"/>
    <w:rsid w:val="00E31D31"/>
    <w:rsid w:val="00E51039"/>
    <w:rsid w:val="00E712D9"/>
    <w:rsid w:val="00E818DC"/>
    <w:rsid w:val="00E940A0"/>
    <w:rsid w:val="00EA3797"/>
    <w:rsid w:val="00EA6AC3"/>
    <w:rsid w:val="00EB6368"/>
    <w:rsid w:val="00EC459A"/>
    <w:rsid w:val="00EE27DE"/>
    <w:rsid w:val="00F108DF"/>
    <w:rsid w:val="00F16D1E"/>
    <w:rsid w:val="00F73E63"/>
    <w:rsid w:val="00F76D09"/>
    <w:rsid w:val="00F801BA"/>
    <w:rsid w:val="00F836B4"/>
    <w:rsid w:val="00F95946"/>
    <w:rsid w:val="00FB5C22"/>
    <w:rsid w:val="00FD40C1"/>
    <w:rsid w:val="00FE3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character" w:customStyle="1" w:styleId="KonuBalChar">
    <w:name w:val="Konu Başlığı Char"/>
    <w:basedOn w:val="VarsaylanParagrafYazTipi"/>
    <w:link w:val="KonuBal"/>
    <w:locked/>
    <w:rsid w:val="001F5332"/>
    <w:rPr>
      <w:sz w:val="24"/>
      <w:lang w:eastAsia="tr-TR"/>
    </w:rPr>
  </w:style>
  <w:style w:type="paragraph" w:styleId="KonuBal">
    <w:name w:val="Title"/>
    <w:basedOn w:val="Normal"/>
    <w:link w:val="KonuBalChar"/>
    <w:qFormat/>
    <w:rsid w:val="001F5332"/>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1F53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457</Words>
  <Characters>2610</Characters>
  <Application>Microsoft Office Word</Application>
  <DocSecurity>0</DocSecurity>
  <Lines>21</Lines>
  <Paragraphs>6</Paragraphs>
  <ScaleCrop>false</ScaleCrop>
  <Company>TURMOB</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199</cp:revision>
  <cp:lastPrinted>2013-01-07T06:33:00Z</cp:lastPrinted>
  <dcterms:created xsi:type="dcterms:W3CDTF">2013-01-02T06:53:00Z</dcterms:created>
  <dcterms:modified xsi:type="dcterms:W3CDTF">2013-02-26T06:52:00Z</dcterms:modified>
</cp:coreProperties>
</file>