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26E3F" w:rsidRDefault="00B31DBA" w:rsidP="00D26E3F">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27</w:t>
      </w:r>
      <w:r w:rsidR="00785D8B" w:rsidRPr="00D26E3F">
        <w:rPr>
          <w:rFonts w:ascii="Times New Roman" w:hAnsi="Times New Roman" w:cs="Times New Roman"/>
          <w:b/>
          <w:sz w:val="20"/>
          <w:szCs w:val="20"/>
          <w:u w:val="single"/>
        </w:rPr>
        <w:t xml:space="preserve"> Şubat</w:t>
      </w:r>
      <w:r w:rsidR="0049683C" w:rsidRPr="00D26E3F">
        <w:rPr>
          <w:rFonts w:ascii="Times New Roman" w:hAnsi="Times New Roman" w:cs="Times New Roman"/>
          <w:b/>
          <w:sz w:val="20"/>
          <w:szCs w:val="20"/>
          <w:u w:val="single"/>
        </w:rPr>
        <w:t xml:space="preserve"> 2013,</w:t>
      </w:r>
      <w:r w:rsidR="0049683C" w:rsidRPr="00D26E3F">
        <w:rPr>
          <w:rFonts w:ascii="Times New Roman" w:hAnsi="Times New Roman" w:cs="Times New Roman"/>
          <w:b/>
          <w:sz w:val="20"/>
          <w:szCs w:val="20"/>
          <w:u w:val="single"/>
        </w:rPr>
        <w:tab/>
      </w:r>
      <w:r w:rsidR="0049683C" w:rsidRPr="00D26E3F">
        <w:rPr>
          <w:rFonts w:ascii="Times New Roman" w:hAnsi="Times New Roman" w:cs="Times New Roman"/>
          <w:b/>
          <w:sz w:val="20"/>
          <w:szCs w:val="20"/>
          <w:u w:val="single"/>
        </w:rPr>
        <w:tab/>
      </w:r>
      <w:r w:rsidR="0049683C" w:rsidRPr="00D26E3F">
        <w:rPr>
          <w:rFonts w:ascii="Times New Roman" w:hAnsi="Times New Roman" w:cs="Times New Roman"/>
          <w:b/>
          <w:sz w:val="20"/>
          <w:szCs w:val="20"/>
          <w:u w:val="single"/>
        </w:rPr>
        <w:tab/>
      </w:r>
      <w:r w:rsidR="0049683C" w:rsidRPr="00D26E3F">
        <w:rPr>
          <w:rFonts w:ascii="Times New Roman" w:hAnsi="Times New Roman" w:cs="Times New Roman"/>
          <w:b/>
          <w:sz w:val="20"/>
          <w:szCs w:val="20"/>
          <w:u w:val="single"/>
        </w:rPr>
        <w:tab/>
      </w:r>
      <w:r w:rsidR="0049683C" w:rsidRPr="00D26E3F">
        <w:rPr>
          <w:rFonts w:ascii="Times New Roman" w:hAnsi="Times New Roman" w:cs="Times New Roman"/>
          <w:b/>
          <w:sz w:val="20"/>
          <w:szCs w:val="20"/>
          <w:u w:val="single"/>
        </w:rPr>
        <w:tab/>
      </w:r>
      <w:r w:rsidR="0049683C" w:rsidRPr="00D26E3F">
        <w:rPr>
          <w:rFonts w:ascii="Times New Roman" w:hAnsi="Times New Roman" w:cs="Times New Roman"/>
          <w:b/>
          <w:sz w:val="20"/>
          <w:szCs w:val="20"/>
          <w:u w:val="single"/>
        </w:rPr>
        <w:tab/>
      </w:r>
      <w:r w:rsidR="0049683C" w:rsidRPr="00D26E3F">
        <w:rPr>
          <w:rFonts w:ascii="Times New Roman" w:hAnsi="Times New Roman" w:cs="Times New Roman"/>
          <w:b/>
          <w:sz w:val="20"/>
          <w:szCs w:val="20"/>
          <w:u w:val="single"/>
        </w:rPr>
        <w:tab/>
      </w:r>
      <w:r w:rsidR="0049683C" w:rsidRPr="00D26E3F">
        <w:rPr>
          <w:rFonts w:ascii="Times New Roman" w:hAnsi="Times New Roman" w:cs="Times New Roman"/>
          <w:b/>
          <w:sz w:val="20"/>
          <w:szCs w:val="20"/>
          <w:u w:val="single"/>
        </w:rPr>
        <w:tab/>
      </w:r>
      <w:r w:rsidR="00317A78" w:rsidRPr="00D26E3F">
        <w:rPr>
          <w:rFonts w:ascii="Times New Roman" w:hAnsi="Times New Roman" w:cs="Times New Roman"/>
          <w:b/>
          <w:sz w:val="20"/>
          <w:szCs w:val="20"/>
          <w:u w:val="single"/>
        </w:rPr>
        <w:tab/>
      </w:r>
      <w:r w:rsidR="0049683C" w:rsidRPr="00D26E3F">
        <w:rPr>
          <w:rFonts w:ascii="Times New Roman" w:hAnsi="Times New Roman" w:cs="Times New Roman"/>
          <w:b/>
          <w:sz w:val="20"/>
          <w:szCs w:val="20"/>
          <w:u w:val="single"/>
        </w:rPr>
        <w:t xml:space="preserve">   </w:t>
      </w:r>
      <w:r w:rsidR="004516C8" w:rsidRPr="00D26E3F">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28572</w:t>
      </w:r>
      <w:proofErr w:type="gramEnd"/>
    </w:p>
    <w:p w:rsidR="00413165" w:rsidRDefault="00413165" w:rsidP="00D26E3F">
      <w:pPr>
        <w:spacing w:after="0" w:line="300" w:lineRule="atLeast"/>
        <w:rPr>
          <w:rFonts w:ascii="Times New Roman" w:hAnsi="Times New Roman" w:cs="Times New Roman"/>
          <w:b/>
          <w:sz w:val="20"/>
          <w:szCs w:val="20"/>
          <w:u w:val="single"/>
        </w:rPr>
      </w:pPr>
    </w:p>
    <w:p w:rsidR="00B31DBA" w:rsidRDefault="00530BB6" w:rsidP="00B31DBA">
      <w:pPr>
        <w:tabs>
          <w:tab w:val="left" w:pos="566"/>
          <w:tab w:val="center" w:pos="3543"/>
        </w:tabs>
        <w:spacing w:after="0" w:line="240" w:lineRule="exact"/>
        <w:rPr>
          <w:rFonts w:ascii="Times New Roman" w:eastAsia="Times New Roman" w:hAnsi="Times New Roman" w:cs="Times New Roman"/>
          <w:b/>
          <w:sz w:val="18"/>
          <w:lang w:val="en-GB" w:eastAsia="tr-TR"/>
        </w:rPr>
      </w:pPr>
      <w:r w:rsidRPr="00530BB6">
        <w:rPr>
          <w:rFonts w:ascii="Times New Roman" w:eastAsia="Times New Roman" w:hAnsi="Times New Roman" w:cs="Times New Roman"/>
          <w:b/>
          <w:sz w:val="18"/>
          <w:lang w:val="en-GB" w:eastAsia="tr-TR"/>
        </w:rPr>
        <w:tab/>
      </w:r>
    </w:p>
    <w:p w:rsidR="00B31DBA" w:rsidRDefault="00B31DBA" w:rsidP="00B31DBA">
      <w:pPr>
        <w:pStyle w:val="3-NormalYaz"/>
        <w:spacing w:line="240" w:lineRule="exact"/>
        <w:ind w:firstLine="566"/>
        <w:rPr>
          <w:rFonts w:hAnsi="Times New Roman"/>
          <w:sz w:val="18"/>
          <w:szCs w:val="18"/>
          <w:u w:val="single"/>
        </w:rPr>
      </w:pPr>
      <w:r>
        <w:rPr>
          <w:rFonts w:hAnsi="Times New Roman"/>
          <w:sz w:val="18"/>
          <w:szCs w:val="18"/>
          <w:u w:val="single"/>
        </w:rPr>
        <w:t>Gümrük ve Ticaret Bakanlığından:</w:t>
      </w:r>
    </w:p>
    <w:p w:rsidR="00B31DBA" w:rsidRDefault="00B31DBA" w:rsidP="00B31DBA">
      <w:pPr>
        <w:pStyle w:val="3-NormalYaz"/>
        <w:spacing w:line="240" w:lineRule="exact"/>
        <w:jc w:val="center"/>
        <w:rPr>
          <w:rFonts w:hAnsi="Times New Roman"/>
          <w:b/>
          <w:sz w:val="18"/>
          <w:szCs w:val="18"/>
        </w:rPr>
      </w:pPr>
      <w:r>
        <w:rPr>
          <w:rFonts w:hAnsi="Times New Roman"/>
          <w:b/>
          <w:sz w:val="18"/>
          <w:szCs w:val="18"/>
        </w:rPr>
        <w:t>GÜMRÜK GENEL TEBLİĞİ</w:t>
      </w:r>
    </w:p>
    <w:p w:rsidR="00B31DBA" w:rsidRDefault="00B31DBA" w:rsidP="00B31DBA">
      <w:pPr>
        <w:pStyle w:val="3-NormalYaz"/>
        <w:spacing w:line="240" w:lineRule="exact"/>
        <w:jc w:val="center"/>
        <w:rPr>
          <w:rFonts w:hAnsi="Times New Roman"/>
          <w:b/>
          <w:sz w:val="18"/>
          <w:szCs w:val="18"/>
        </w:rPr>
      </w:pPr>
      <w:r>
        <w:rPr>
          <w:rFonts w:hAnsi="Times New Roman"/>
          <w:b/>
          <w:sz w:val="18"/>
          <w:szCs w:val="18"/>
        </w:rPr>
        <w:t>(GÜMRÜK İŞLEMLERİ)</w:t>
      </w:r>
    </w:p>
    <w:p w:rsidR="00B31DBA" w:rsidRDefault="00B31DBA" w:rsidP="00B31DBA">
      <w:pPr>
        <w:pStyle w:val="3-NormalYaz"/>
        <w:spacing w:line="240" w:lineRule="exact"/>
        <w:jc w:val="center"/>
        <w:rPr>
          <w:rFonts w:hAnsi="Times New Roman"/>
          <w:b/>
          <w:sz w:val="18"/>
          <w:szCs w:val="18"/>
        </w:rPr>
      </w:pPr>
      <w:r>
        <w:rPr>
          <w:rFonts w:hAnsi="Times New Roman"/>
          <w:b/>
          <w:sz w:val="18"/>
          <w:szCs w:val="18"/>
        </w:rPr>
        <w:t>(SERİ NO: 105)</w:t>
      </w:r>
    </w:p>
    <w:p w:rsidR="00B31DBA" w:rsidRDefault="00B31DBA" w:rsidP="00B31DBA">
      <w:pPr>
        <w:pStyle w:val="3-NormalYaz"/>
        <w:spacing w:line="240" w:lineRule="exact"/>
        <w:ind w:firstLine="566"/>
        <w:rPr>
          <w:rFonts w:hAnsi="Times New Roman"/>
          <w:b/>
          <w:sz w:val="18"/>
          <w:szCs w:val="18"/>
        </w:rPr>
      </w:pPr>
      <w:r>
        <w:rPr>
          <w:rFonts w:hAnsi="Times New Roman"/>
          <w:b/>
          <w:sz w:val="18"/>
          <w:szCs w:val="18"/>
        </w:rPr>
        <w:t>Amaç ve kapsam</w:t>
      </w:r>
    </w:p>
    <w:p w:rsidR="00B31DBA" w:rsidRDefault="00B31DBA" w:rsidP="00B31DBA">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Tebliğ, Türk Gümrük Tarife Cetvelinin 50 ila 63 üncü (50 ve 63 dâhil) fasılları kapsamındaki tekstil eşyasının serbest dolaşıma giriş işlemlerini gerçekleştirmeye yetkili gümrük müdürlüklerinin belirlenmesi amacıyla hazırlanmıştır.</w:t>
      </w:r>
    </w:p>
    <w:p w:rsidR="00B31DBA" w:rsidRDefault="00B31DBA" w:rsidP="00B31DBA">
      <w:pPr>
        <w:pStyle w:val="3-NormalYaz"/>
        <w:spacing w:line="240" w:lineRule="exact"/>
        <w:ind w:firstLine="566"/>
        <w:rPr>
          <w:rFonts w:hAnsi="Times New Roman"/>
          <w:b/>
          <w:sz w:val="18"/>
          <w:szCs w:val="18"/>
        </w:rPr>
      </w:pPr>
      <w:r>
        <w:rPr>
          <w:rFonts w:hAnsi="Times New Roman"/>
          <w:b/>
          <w:sz w:val="18"/>
          <w:szCs w:val="18"/>
        </w:rPr>
        <w:t>Dayanak</w:t>
      </w:r>
    </w:p>
    <w:p w:rsidR="00B31DBA" w:rsidRDefault="00B31DBA" w:rsidP="00B31DBA">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Tebliğ, </w:t>
      </w:r>
      <w:proofErr w:type="gramStart"/>
      <w:r>
        <w:rPr>
          <w:rFonts w:hAnsi="Times New Roman"/>
          <w:sz w:val="18"/>
          <w:szCs w:val="18"/>
        </w:rPr>
        <w:t>27/10/1999</w:t>
      </w:r>
      <w:proofErr w:type="gramEnd"/>
      <w:r>
        <w:rPr>
          <w:rFonts w:hAnsi="Times New Roman"/>
          <w:sz w:val="18"/>
          <w:szCs w:val="18"/>
        </w:rPr>
        <w:t xml:space="preserve"> tarihli ve 4458 sayılı Gümrük Kanununun 10 uncu maddesine dayanılarak hazırlanmıştır.</w:t>
      </w:r>
    </w:p>
    <w:p w:rsidR="00B31DBA" w:rsidRDefault="00B31DBA" w:rsidP="00B31DBA">
      <w:pPr>
        <w:pStyle w:val="3-NormalYaz"/>
        <w:spacing w:line="240" w:lineRule="exact"/>
        <w:ind w:firstLine="566"/>
        <w:rPr>
          <w:rFonts w:hAnsi="Times New Roman"/>
          <w:b/>
          <w:sz w:val="18"/>
          <w:szCs w:val="18"/>
        </w:rPr>
      </w:pPr>
      <w:r>
        <w:rPr>
          <w:rFonts w:hAnsi="Times New Roman"/>
          <w:b/>
          <w:sz w:val="18"/>
          <w:szCs w:val="18"/>
        </w:rPr>
        <w:t xml:space="preserve">Tekstil eşyası ihtisas gümrüğü uygulaması </w:t>
      </w:r>
    </w:p>
    <w:p w:rsidR="00B31DBA" w:rsidRDefault="00B31DBA" w:rsidP="00B31DBA">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Türk Gümrük Tarife Cetvelinin 50 ila 63 üncü (50 ve 63 dâhil) fasılları kapsamındaki tekstil eşyasının serbest dolaşıma giriş işlemleri aşağıda belirtilen gümrük müdürlüklerinden yapılır.</w:t>
      </w:r>
    </w:p>
    <w:p w:rsidR="00B31DBA" w:rsidRDefault="00B31DBA" w:rsidP="00B31DBA">
      <w:pPr>
        <w:pStyle w:val="3-NormalYaz"/>
        <w:spacing w:line="240" w:lineRule="exact"/>
        <w:jc w:val="center"/>
        <w:rPr>
          <w:rFonts w:hAnsi="Times New Roman"/>
          <w:sz w:val="18"/>
          <w:szCs w:val="18"/>
        </w:rPr>
      </w:pPr>
    </w:p>
    <w:tbl>
      <w:tblPr>
        <w:tblW w:w="7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01"/>
        <w:gridCol w:w="6123"/>
      </w:tblGrid>
      <w:tr w:rsidR="00B31DBA">
        <w:trPr>
          <w:trHeight w:val="241"/>
        </w:trPr>
        <w:tc>
          <w:tcPr>
            <w:tcW w:w="1401"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jc w:val="both"/>
              <w:rPr>
                <w:b/>
                <w:sz w:val="18"/>
                <w:szCs w:val="18"/>
              </w:rPr>
            </w:pPr>
            <w:r>
              <w:rPr>
                <w:b/>
                <w:sz w:val="18"/>
                <w:szCs w:val="18"/>
              </w:rPr>
              <w:t>Sıra No</w:t>
            </w:r>
          </w:p>
        </w:tc>
        <w:tc>
          <w:tcPr>
            <w:tcW w:w="6123"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jc w:val="both"/>
              <w:rPr>
                <w:b/>
                <w:sz w:val="18"/>
                <w:szCs w:val="18"/>
              </w:rPr>
            </w:pPr>
            <w:r>
              <w:rPr>
                <w:b/>
                <w:sz w:val="18"/>
                <w:szCs w:val="18"/>
              </w:rPr>
              <w:t>Yetkili Gümrük Müdürlüğü</w:t>
            </w:r>
          </w:p>
        </w:tc>
      </w:tr>
      <w:tr w:rsidR="00B31DBA">
        <w:trPr>
          <w:trHeight w:val="227"/>
        </w:trPr>
        <w:tc>
          <w:tcPr>
            <w:tcW w:w="1401"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jc w:val="center"/>
              <w:rPr>
                <w:sz w:val="18"/>
                <w:szCs w:val="18"/>
              </w:rPr>
            </w:pPr>
            <w:r>
              <w:rPr>
                <w:sz w:val="18"/>
                <w:szCs w:val="18"/>
              </w:rPr>
              <w:t>1</w:t>
            </w:r>
          </w:p>
        </w:tc>
        <w:tc>
          <w:tcPr>
            <w:tcW w:w="6123"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rPr>
                <w:sz w:val="18"/>
                <w:szCs w:val="18"/>
              </w:rPr>
            </w:pPr>
            <w:r>
              <w:rPr>
                <w:sz w:val="18"/>
                <w:szCs w:val="18"/>
              </w:rPr>
              <w:t>Halkalı Gümrük Müdürlüğü</w:t>
            </w:r>
          </w:p>
        </w:tc>
      </w:tr>
      <w:tr w:rsidR="00B31DBA">
        <w:trPr>
          <w:trHeight w:val="218"/>
        </w:trPr>
        <w:tc>
          <w:tcPr>
            <w:tcW w:w="1401"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jc w:val="center"/>
              <w:rPr>
                <w:sz w:val="18"/>
                <w:szCs w:val="18"/>
              </w:rPr>
            </w:pPr>
            <w:r>
              <w:rPr>
                <w:sz w:val="18"/>
                <w:szCs w:val="18"/>
              </w:rPr>
              <w:t>2</w:t>
            </w:r>
          </w:p>
        </w:tc>
        <w:tc>
          <w:tcPr>
            <w:tcW w:w="6123"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rPr>
                <w:sz w:val="18"/>
                <w:szCs w:val="18"/>
              </w:rPr>
            </w:pPr>
            <w:r>
              <w:rPr>
                <w:sz w:val="18"/>
                <w:szCs w:val="18"/>
              </w:rPr>
              <w:t>Atatürk Havalimanı Kargo Gümrük Müdürlüğü</w:t>
            </w:r>
          </w:p>
        </w:tc>
      </w:tr>
      <w:tr w:rsidR="00B31DBA">
        <w:trPr>
          <w:trHeight w:val="227"/>
        </w:trPr>
        <w:tc>
          <w:tcPr>
            <w:tcW w:w="1401"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jc w:val="center"/>
              <w:rPr>
                <w:sz w:val="18"/>
                <w:szCs w:val="18"/>
              </w:rPr>
            </w:pPr>
            <w:r>
              <w:rPr>
                <w:sz w:val="18"/>
                <w:szCs w:val="18"/>
              </w:rPr>
              <w:t>3</w:t>
            </w:r>
          </w:p>
        </w:tc>
        <w:tc>
          <w:tcPr>
            <w:tcW w:w="6123"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rPr>
                <w:sz w:val="18"/>
                <w:szCs w:val="18"/>
              </w:rPr>
            </w:pPr>
            <w:r>
              <w:rPr>
                <w:sz w:val="18"/>
                <w:szCs w:val="18"/>
              </w:rPr>
              <w:t>Gemlik Gümrük Müdürlüğü</w:t>
            </w:r>
          </w:p>
        </w:tc>
      </w:tr>
      <w:tr w:rsidR="00B31DBA">
        <w:trPr>
          <w:trHeight w:val="241"/>
        </w:trPr>
        <w:tc>
          <w:tcPr>
            <w:tcW w:w="1401"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jc w:val="center"/>
              <w:rPr>
                <w:sz w:val="18"/>
                <w:szCs w:val="18"/>
              </w:rPr>
            </w:pPr>
            <w:r>
              <w:rPr>
                <w:sz w:val="18"/>
                <w:szCs w:val="18"/>
              </w:rPr>
              <w:t>4</w:t>
            </w:r>
          </w:p>
        </w:tc>
        <w:tc>
          <w:tcPr>
            <w:tcW w:w="6123"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rPr>
                <w:sz w:val="18"/>
                <w:szCs w:val="18"/>
              </w:rPr>
            </w:pPr>
            <w:r>
              <w:rPr>
                <w:sz w:val="18"/>
                <w:szCs w:val="18"/>
              </w:rPr>
              <w:t>Mersin Gümrük Müdürlüğü</w:t>
            </w:r>
          </w:p>
        </w:tc>
      </w:tr>
      <w:tr w:rsidR="00B31DBA">
        <w:trPr>
          <w:trHeight w:val="227"/>
        </w:trPr>
        <w:tc>
          <w:tcPr>
            <w:tcW w:w="1401"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jc w:val="center"/>
              <w:rPr>
                <w:sz w:val="18"/>
                <w:szCs w:val="18"/>
              </w:rPr>
            </w:pPr>
            <w:r>
              <w:rPr>
                <w:sz w:val="18"/>
                <w:szCs w:val="18"/>
              </w:rPr>
              <w:t>5</w:t>
            </w:r>
          </w:p>
        </w:tc>
        <w:tc>
          <w:tcPr>
            <w:tcW w:w="6123"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rPr>
                <w:sz w:val="18"/>
                <w:szCs w:val="18"/>
              </w:rPr>
            </w:pPr>
            <w:r>
              <w:rPr>
                <w:sz w:val="18"/>
                <w:szCs w:val="18"/>
              </w:rPr>
              <w:t>İzmir Gümrük Müdürlüğü</w:t>
            </w:r>
          </w:p>
        </w:tc>
      </w:tr>
      <w:tr w:rsidR="00B31DBA">
        <w:trPr>
          <w:trHeight w:val="227"/>
        </w:trPr>
        <w:tc>
          <w:tcPr>
            <w:tcW w:w="1401"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jc w:val="center"/>
              <w:rPr>
                <w:sz w:val="18"/>
                <w:szCs w:val="18"/>
              </w:rPr>
            </w:pPr>
            <w:r>
              <w:rPr>
                <w:sz w:val="18"/>
                <w:szCs w:val="18"/>
              </w:rPr>
              <w:t>6</w:t>
            </w:r>
          </w:p>
        </w:tc>
        <w:tc>
          <w:tcPr>
            <w:tcW w:w="6123"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rPr>
                <w:sz w:val="18"/>
                <w:szCs w:val="18"/>
              </w:rPr>
            </w:pPr>
            <w:r>
              <w:rPr>
                <w:sz w:val="18"/>
                <w:szCs w:val="18"/>
              </w:rPr>
              <w:t>Denizli Gümrük Müdürlüğü</w:t>
            </w:r>
          </w:p>
        </w:tc>
      </w:tr>
      <w:tr w:rsidR="00B31DBA">
        <w:trPr>
          <w:trHeight w:val="241"/>
        </w:trPr>
        <w:tc>
          <w:tcPr>
            <w:tcW w:w="1401"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jc w:val="center"/>
              <w:rPr>
                <w:sz w:val="18"/>
                <w:szCs w:val="18"/>
              </w:rPr>
            </w:pPr>
            <w:r>
              <w:rPr>
                <w:sz w:val="18"/>
                <w:szCs w:val="18"/>
              </w:rPr>
              <w:t>7</w:t>
            </w:r>
          </w:p>
        </w:tc>
        <w:tc>
          <w:tcPr>
            <w:tcW w:w="6123"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rPr>
                <w:sz w:val="18"/>
                <w:szCs w:val="18"/>
              </w:rPr>
            </w:pPr>
            <w:r>
              <w:rPr>
                <w:sz w:val="18"/>
                <w:szCs w:val="18"/>
              </w:rPr>
              <w:t>Ankara Gümrük Müdürlüğü</w:t>
            </w:r>
          </w:p>
        </w:tc>
      </w:tr>
      <w:tr w:rsidR="00B31DBA">
        <w:trPr>
          <w:trHeight w:val="227"/>
        </w:trPr>
        <w:tc>
          <w:tcPr>
            <w:tcW w:w="1401"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jc w:val="center"/>
              <w:rPr>
                <w:sz w:val="18"/>
                <w:szCs w:val="18"/>
              </w:rPr>
            </w:pPr>
            <w:r>
              <w:rPr>
                <w:sz w:val="18"/>
                <w:szCs w:val="18"/>
              </w:rPr>
              <w:t>8</w:t>
            </w:r>
          </w:p>
        </w:tc>
        <w:tc>
          <w:tcPr>
            <w:tcW w:w="6123"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rPr>
                <w:sz w:val="18"/>
                <w:szCs w:val="18"/>
              </w:rPr>
            </w:pPr>
            <w:r>
              <w:rPr>
                <w:sz w:val="18"/>
                <w:szCs w:val="18"/>
              </w:rPr>
              <w:t>Kayseri Gümrük Müdürlüğü</w:t>
            </w:r>
          </w:p>
        </w:tc>
      </w:tr>
      <w:tr w:rsidR="00B31DBA">
        <w:trPr>
          <w:trHeight w:val="241"/>
        </w:trPr>
        <w:tc>
          <w:tcPr>
            <w:tcW w:w="1401"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jc w:val="center"/>
              <w:rPr>
                <w:sz w:val="18"/>
                <w:szCs w:val="18"/>
              </w:rPr>
            </w:pPr>
            <w:r>
              <w:rPr>
                <w:sz w:val="18"/>
                <w:szCs w:val="18"/>
              </w:rPr>
              <w:t>9</w:t>
            </w:r>
          </w:p>
        </w:tc>
        <w:tc>
          <w:tcPr>
            <w:tcW w:w="6123"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rPr>
                <w:sz w:val="18"/>
                <w:szCs w:val="18"/>
              </w:rPr>
            </w:pPr>
            <w:r>
              <w:rPr>
                <w:sz w:val="18"/>
                <w:szCs w:val="18"/>
              </w:rPr>
              <w:t>Gaziantep Gümrük Müdürlüğü</w:t>
            </w:r>
          </w:p>
        </w:tc>
      </w:tr>
      <w:tr w:rsidR="00B31DBA">
        <w:trPr>
          <w:trHeight w:val="227"/>
        </w:trPr>
        <w:tc>
          <w:tcPr>
            <w:tcW w:w="1401"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jc w:val="center"/>
              <w:rPr>
                <w:color w:val="000000"/>
                <w:sz w:val="18"/>
                <w:szCs w:val="18"/>
              </w:rPr>
            </w:pPr>
            <w:r>
              <w:rPr>
                <w:color w:val="000000"/>
                <w:sz w:val="18"/>
                <w:szCs w:val="18"/>
              </w:rPr>
              <w:t>10</w:t>
            </w:r>
          </w:p>
        </w:tc>
        <w:tc>
          <w:tcPr>
            <w:tcW w:w="6123"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rPr>
                <w:color w:val="000000"/>
                <w:sz w:val="18"/>
                <w:szCs w:val="18"/>
              </w:rPr>
            </w:pPr>
            <w:r>
              <w:rPr>
                <w:color w:val="000000"/>
                <w:sz w:val="18"/>
                <w:szCs w:val="18"/>
              </w:rPr>
              <w:t>İskenderun Gümrük Müdürlüğü</w:t>
            </w:r>
          </w:p>
        </w:tc>
      </w:tr>
      <w:tr w:rsidR="00B31DBA">
        <w:trPr>
          <w:trHeight w:val="227"/>
        </w:trPr>
        <w:tc>
          <w:tcPr>
            <w:tcW w:w="1401"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jc w:val="center"/>
              <w:rPr>
                <w:color w:val="000000"/>
                <w:sz w:val="18"/>
                <w:szCs w:val="18"/>
              </w:rPr>
            </w:pPr>
            <w:r>
              <w:rPr>
                <w:color w:val="000000"/>
                <w:sz w:val="18"/>
                <w:szCs w:val="18"/>
              </w:rPr>
              <w:t>11</w:t>
            </w:r>
          </w:p>
        </w:tc>
        <w:tc>
          <w:tcPr>
            <w:tcW w:w="6123"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rPr>
                <w:color w:val="000000"/>
                <w:sz w:val="18"/>
                <w:szCs w:val="18"/>
              </w:rPr>
            </w:pPr>
            <w:r>
              <w:rPr>
                <w:color w:val="000000"/>
                <w:sz w:val="18"/>
                <w:szCs w:val="18"/>
              </w:rPr>
              <w:t>Trakya Serbest Bölge Gümrük Müdürlüğü</w:t>
            </w:r>
          </w:p>
        </w:tc>
      </w:tr>
      <w:tr w:rsidR="00B31DBA">
        <w:trPr>
          <w:trHeight w:val="241"/>
        </w:trPr>
        <w:tc>
          <w:tcPr>
            <w:tcW w:w="1401"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jc w:val="center"/>
              <w:rPr>
                <w:color w:val="000000"/>
                <w:sz w:val="18"/>
                <w:szCs w:val="18"/>
              </w:rPr>
            </w:pPr>
            <w:r>
              <w:rPr>
                <w:color w:val="000000"/>
                <w:sz w:val="18"/>
                <w:szCs w:val="18"/>
              </w:rPr>
              <w:t>12</w:t>
            </w:r>
          </w:p>
        </w:tc>
        <w:tc>
          <w:tcPr>
            <w:tcW w:w="6123" w:type="dxa"/>
            <w:tcBorders>
              <w:top w:val="single" w:sz="4" w:space="0" w:color="000000"/>
              <w:left w:val="single" w:sz="4" w:space="0" w:color="000000"/>
              <w:bottom w:val="single" w:sz="4" w:space="0" w:color="000000"/>
              <w:right w:val="single" w:sz="4" w:space="0" w:color="000000"/>
            </w:tcBorders>
            <w:hideMark/>
          </w:tcPr>
          <w:p w:rsidR="00B31DBA" w:rsidRDefault="00B31DBA">
            <w:pPr>
              <w:spacing w:line="240" w:lineRule="exact"/>
              <w:rPr>
                <w:color w:val="000000"/>
                <w:sz w:val="18"/>
                <w:szCs w:val="18"/>
              </w:rPr>
            </w:pPr>
            <w:r>
              <w:rPr>
                <w:color w:val="000000"/>
                <w:sz w:val="18"/>
                <w:szCs w:val="18"/>
              </w:rPr>
              <w:t>Avrupa Serbest Bölge Gümrük Müdürlüğü</w:t>
            </w:r>
          </w:p>
        </w:tc>
      </w:tr>
    </w:tbl>
    <w:p w:rsidR="00B31DBA" w:rsidRDefault="00B31DBA" w:rsidP="00B31DBA">
      <w:pPr>
        <w:pStyle w:val="3-NormalYaz"/>
        <w:spacing w:line="240" w:lineRule="exact"/>
        <w:jc w:val="center"/>
        <w:rPr>
          <w:rFonts w:hAnsi="Times New Roman"/>
          <w:sz w:val="18"/>
          <w:szCs w:val="18"/>
        </w:rPr>
      </w:pPr>
    </w:p>
    <w:p w:rsidR="00B31DBA" w:rsidRDefault="00B31DBA" w:rsidP="00B31DBA">
      <w:pPr>
        <w:pStyle w:val="3-NormalYaz"/>
        <w:spacing w:line="240" w:lineRule="exact"/>
        <w:ind w:firstLine="566"/>
        <w:rPr>
          <w:rFonts w:hAnsi="Times New Roman"/>
          <w:sz w:val="18"/>
          <w:szCs w:val="18"/>
        </w:rPr>
      </w:pPr>
      <w:r>
        <w:rPr>
          <w:rFonts w:hAnsi="Times New Roman"/>
          <w:sz w:val="18"/>
          <w:szCs w:val="18"/>
        </w:rPr>
        <w:t xml:space="preserve">(2) Birinci fıkrada belirtilen tekstil eşyasından, </w:t>
      </w:r>
      <w:proofErr w:type="gramStart"/>
      <w:r>
        <w:rPr>
          <w:rFonts w:hAnsi="Times New Roman"/>
          <w:sz w:val="18"/>
          <w:szCs w:val="18"/>
        </w:rPr>
        <w:t>27/7/2012</w:t>
      </w:r>
      <w:proofErr w:type="gramEnd"/>
      <w:r>
        <w:rPr>
          <w:rFonts w:hAnsi="Times New Roman"/>
          <w:sz w:val="18"/>
          <w:szCs w:val="18"/>
        </w:rPr>
        <w:t xml:space="preserve"> tarihli ve 28366 sayılı Resmî Gazete'de yayımlanan Gümrük Genel Tebliği (Gümrük İşlemleri Seri No: 93)’</w:t>
      </w:r>
      <w:proofErr w:type="spellStart"/>
      <w:r>
        <w:rPr>
          <w:rFonts w:hAnsi="Times New Roman"/>
          <w:sz w:val="18"/>
          <w:szCs w:val="18"/>
        </w:rPr>
        <w:t>nin</w:t>
      </w:r>
      <w:proofErr w:type="spellEnd"/>
      <w:r>
        <w:rPr>
          <w:rFonts w:hAnsi="Times New Roman"/>
          <w:sz w:val="18"/>
          <w:szCs w:val="18"/>
        </w:rPr>
        <w:t xml:space="preserve"> 3 üncü maddesinin birinci fıkrasında belirtilen </w:t>
      </w:r>
      <w:proofErr w:type="spellStart"/>
      <w:r>
        <w:rPr>
          <w:rFonts w:hAnsi="Times New Roman"/>
          <w:sz w:val="18"/>
          <w:szCs w:val="18"/>
        </w:rPr>
        <w:t>GTİP’ler</w:t>
      </w:r>
      <w:proofErr w:type="spellEnd"/>
      <w:r>
        <w:rPr>
          <w:rFonts w:hAnsi="Times New Roman"/>
          <w:sz w:val="18"/>
          <w:szCs w:val="18"/>
        </w:rPr>
        <w:t xml:space="preserve"> dışındaki halı ve paspas benzeri eşyaların serbest dolaşıma giriş işlemleri Isparta Gümrük Müdürlüğünden de yapılabilir.</w:t>
      </w:r>
    </w:p>
    <w:p w:rsidR="00B31DBA" w:rsidRDefault="00B31DBA" w:rsidP="00B31DBA">
      <w:pPr>
        <w:pStyle w:val="3-NormalYaz"/>
        <w:spacing w:line="240" w:lineRule="exact"/>
        <w:ind w:firstLine="566"/>
        <w:rPr>
          <w:rFonts w:hAnsi="Times New Roman"/>
          <w:sz w:val="18"/>
          <w:szCs w:val="18"/>
        </w:rPr>
      </w:pPr>
      <w:r>
        <w:rPr>
          <w:rFonts w:hAnsi="Times New Roman"/>
          <w:sz w:val="18"/>
          <w:szCs w:val="18"/>
        </w:rPr>
        <w:t>(3) Söz konusu eşyanın hızlı kargo ile gelmesi kaydıyla serbest dolaşıma giriş işlemleri Sabiha Gökçen Havalimanı Gümrük Müdürlüğünden yapılır.</w:t>
      </w:r>
    </w:p>
    <w:p w:rsidR="00B31DBA" w:rsidRDefault="00B31DBA" w:rsidP="00B31DBA">
      <w:pPr>
        <w:pStyle w:val="3-NormalYaz"/>
        <w:spacing w:line="240" w:lineRule="exact"/>
        <w:ind w:firstLine="566"/>
        <w:rPr>
          <w:rFonts w:hAnsi="Times New Roman"/>
          <w:sz w:val="18"/>
          <w:szCs w:val="18"/>
        </w:rPr>
      </w:pPr>
      <w:r>
        <w:rPr>
          <w:rFonts w:hAnsi="Times New Roman"/>
          <w:sz w:val="18"/>
          <w:szCs w:val="18"/>
        </w:rPr>
        <w:t>(4) Ancak;</w:t>
      </w:r>
    </w:p>
    <w:p w:rsidR="00B31DBA" w:rsidRDefault="00B31DBA" w:rsidP="00B31DBA">
      <w:pPr>
        <w:pStyle w:val="3-NormalYaz"/>
        <w:spacing w:line="240" w:lineRule="exact"/>
        <w:ind w:firstLine="566"/>
        <w:rPr>
          <w:rFonts w:hAnsi="Times New Roman"/>
          <w:sz w:val="18"/>
          <w:szCs w:val="18"/>
        </w:rPr>
      </w:pPr>
      <w:r>
        <w:rPr>
          <w:rFonts w:hAnsi="Times New Roman"/>
          <w:sz w:val="18"/>
          <w:szCs w:val="18"/>
        </w:rPr>
        <w:t>a) Pamuk, pamuk ipliği, yün ve yapağının,</w:t>
      </w:r>
    </w:p>
    <w:p w:rsidR="00B31DBA" w:rsidRDefault="00B31DBA" w:rsidP="00B31DBA">
      <w:pPr>
        <w:pStyle w:val="3-NormalYaz"/>
        <w:spacing w:line="240" w:lineRule="exact"/>
        <w:ind w:firstLine="566"/>
        <w:rPr>
          <w:rFonts w:hAnsi="Times New Roman"/>
          <w:sz w:val="18"/>
          <w:szCs w:val="18"/>
        </w:rPr>
      </w:pPr>
      <w:r>
        <w:rPr>
          <w:rFonts w:hAnsi="Times New Roman"/>
          <w:sz w:val="18"/>
          <w:szCs w:val="18"/>
        </w:rPr>
        <w:t>b) Sanayiciler tarafından hammadde olarak kullanılmak kaydıyla getirilen yün iplik, tabii elyaf, suni sentetik elyaf ve ipliklerin,</w:t>
      </w:r>
    </w:p>
    <w:p w:rsidR="00B31DBA" w:rsidRDefault="00B31DBA" w:rsidP="00B31DBA">
      <w:pPr>
        <w:pStyle w:val="3-NormalYaz"/>
        <w:spacing w:line="240" w:lineRule="exact"/>
        <w:ind w:firstLine="566"/>
        <w:rPr>
          <w:rFonts w:hAnsi="Times New Roman"/>
          <w:sz w:val="18"/>
          <w:szCs w:val="18"/>
        </w:rPr>
      </w:pPr>
      <w:r>
        <w:rPr>
          <w:rFonts w:hAnsi="Times New Roman"/>
          <w:sz w:val="18"/>
          <w:szCs w:val="18"/>
        </w:rPr>
        <w:t>c) En az 500 işçi istihdam eden ve ödenmiş sermayesi 2.000.000 (iki milyon) TL olan şirketler için sadece Avrupa Birliği üyesi ülkelerden gelen tekstil eşyasının,</w:t>
      </w:r>
    </w:p>
    <w:p w:rsidR="00B31DBA" w:rsidRDefault="00B31DBA" w:rsidP="00B31DBA">
      <w:pPr>
        <w:pStyle w:val="3-NormalYaz"/>
        <w:spacing w:line="240" w:lineRule="exact"/>
        <w:ind w:firstLine="566"/>
        <w:rPr>
          <w:rFonts w:hAnsi="Times New Roman"/>
          <w:sz w:val="18"/>
          <w:szCs w:val="18"/>
        </w:rPr>
      </w:pPr>
      <w:r>
        <w:rPr>
          <w:rFonts w:hAnsi="Times New Roman"/>
          <w:sz w:val="18"/>
          <w:szCs w:val="18"/>
        </w:rPr>
        <w:t>ç) Geçici ithalat rejimi kapsamında yurda getirilmekle birlikte, serbest dolaşıma sokulmak istenen tekstil eşyasının,</w:t>
      </w:r>
    </w:p>
    <w:p w:rsidR="00B31DBA" w:rsidRDefault="00B31DBA" w:rsidP="00B31DBA">
      <w:pPr>
        <w:pStyle w:val="3-NormalYaz"/>
        <w:spacing w:line="240" w:lineRule="exact"/>
        <w:ind w:firstLine="566"/>
        <w:rPr>
          <w:rFonts w:hAnsi="Times New Roman"/>
          <w:sz w:val="18"/>
          <w:szCs w:val="18"/>
        </w:rPr>
      </w:pPr>
      <w:r>
        <w:rPr>
          <w:rFonts w:hAnsi="Times New Roman"/>
          <w:sz w:val="18"/>
          <w:szCs w:val="18"/>
        </w:rPr>
        <w:t>d) İhraç edilen ve geri gelen eşya statüsündeki tekstil eşyasının,</w:t>
      </w:r>
    </w:p>
    <w:p w:rsidR="00B31DBA" w:rsidRDefault="00B31DBA" w:rsidP="00B31DBA">
      <w:pPr>
        <w:pStyle w:val="3-NormalYaz"/>
        <w:spacing w:line="240" w:lineRule="exact"/>
        <w:ind w:firstLine="566"/>
        <w:rPr>
          <w:rFonts w:hAnsi="Times New Roman"/>
          <w:sz w:val="18"/>
          <w:szCs w:val="18"/>
        </w:rPr>
      </w:pPr>
      <w:r>
        <w:rPr>
          <w:rFonts w:hAnsi="Times New Roman"/>
          <w:sz w:val="18"/>
          <w:szCs w:val="18"/>
        </w:rPr>
        <w:lastRenderedPageBreak/>
        <w:t xml:space="preserve">e) Konfeksiyonda kullanılması mümkün olmayan 59.06 tarife pozisyonunda yer alan </w:t>
      </w:r>
      <w:proofErr w:type="spellStart"/>
      <w:r>
        <w:rPr>
          <w:rFonts w:hAnsi="Times New Roman"/>
          <w:sz w:val="18"/>
          <w:szCs w:val="18"/>
        </w:rPr>
        <w:t>kord</w:t>
      </w:r>
      <w:proofErr w:type="spellEnd"/>
      <w:r>
        <w:rPr>
          <w:rFonts w:hAnsi="Times New Roman"/>
          <w:sz w:val="18"/>
          <w:szCs w:val="18"/>
        </w:rPr>
        <w:t xml:space="preserve"> bezi üzerine kauçuk kaplanmış mensucatın,</w:t>
      </w:r>
    </w:p>
    <w:p w:rsidR="00B31DBA" w:rsidRDefault="00B31DBA" w:rsidP="00B31DBA">
      <w:pPr>
        <w:pStyle w:val="3-NormalYaz"/>
        <w:spacing w:line="240" w:lineRule="exact"/>
        <w:ind w:firstLine="566"/>
        <w:rPr>
          <w:rFonts w:hAnsi="Times New Roman"/>
          <w:sz w:val="18"/>
          <w:szCs w:val="18"/>
        </w:rPr>
      </w:pPr>
      <w:r>
        <w:rPr>
          <w:rFonts w:hAnsi="Times New Roman"/>
          <w:sz w:val="18"/>
          <w:szCs w:val="18"/>
        </w:rPr>
        <w:t>f) Otomotiv imalatında ve montajında kullanılan parçalarla birlikte aynı özet beyan ile gelen bu kapsamdaki eşyanın,</w:t>
      </w:r>
    </w:p>
    <w:p w:rsidR="00B31DBA" w:rsidRDefault="00B31DBA" w:rsidP="00B31DBA">
      <w:pPr>
        <w:pStyle w:val="3-NormalYaz"/>
        <w:spacing w:line="240" w:lineRule="exact"/>
        <w:ind w:firstLine="566"/>
        <w:rPr>
          <w:rFonts w:hAnsi="Times New Roman"/>
          <w:sz w:val="18"/>
          <w:szCs w:val="18"/>
        </w:rPr>
      </w:pPr>
      <w:r>
        <w:rPr>
          <w:rFonts w:hAnsi="Times New Roman"/>
          <w:sz w:val="18"/>
          <w:szCs w:val="18"/>
        </w:rPr>
        <w:t>g) Sanayiciler tarafından hammadde olarak kullanılmak kaydıyla getirilen her çeşit döküntülerin, kırpıntıların,</w:t>
      </w:r>
    </w:p>
    <w:p w:rsidR="00B31DBA" w:rsidRDefault="00B31DBA" w:rsidP="00B31DBA">
      <w:pPr>
        <w:pStyle w:val="3-NormalYaz"/>
        <w:spacing w:line="240" w:lineRule="exact"/>
        <w:ind w:firstLine="566"/>
        <w:rPr>
          <w:rFonts w:hAnsi="Times New Roman"/>
          <w:sz w:val="18"/>
          <w:szCs w:val="18"/>
        </w:rPr>
      </w:pPr>
      <w:proofErr w:type="gramStart"/>
      <w:r>
        <w:rPr>
          <w:rFonts w:hAnsi="Times New Roman"/>
          <w:sz w:val="18"/>
          <w:szCs w:val="18"/>
        </w:rPr>
        <w:t>serbest</w:t>
      </w:r>
      <w:proofErr w:type="gramEnd"/>
      <w:r>
        <w:rPr>
          <w:rFonts w:hAnsi="Times New Roman"/>
          <w:sz w:val="18"/>
          <w:szCs w:val="18"/>
        </w:rPr>
        <w:t xml:space="preserve"> dolaşıma giriş işlemleri, geldiği yetkili gümrük idaresince gerçekleştirilir.</w:t>
      </w:r>
    </w:p>
    <w:p w:rsidR="00B31DBA" w:rsidRDefault="00B31DBA" w:rsidP="00B31DBA">
      <w:pPr>
        <w:pStyle w:val="3-NormalYaz"/>
        <w:spacing w:line="240" w:lineRule="exact"/>
        <w:ind w:firstLine="566"/>
        <w:rPr>
          <w:rFonts w:hAnsi="Times New Roman"/>
          <w:sz w:val="18"/>
          <w:szCs w:val="18"/>
        </w:rPr>
      </w:pPr>
      <w:r>
        <w:rPr>
          <w:rFonts w:hAnsi="Times New Roman"/>
          <w:sz w:val="18"/>
          <w:szCs w:val="18"/>
        </w:rPr>
        <w:t>(5) Hava yolu ile getirilen veya posta yolu ve yolcu beraberinde gelen miktar ve kullanım alanı itibariyle ticari nitelik arz etmeyen eşyanın serbest dolaşıma giriş işlemleri ise eşyanın geldiği gümrük idaresi tarafından yapılabilir.</w:t>
      </w:r>
    </w:p>
    <w:p w:rsidR="00B31DBA" w:rsidRDefault="00B31DBA" w:rsidP="00B31DBA">
      <w:pPr>
        <w:pStyle w:val="3-NormalYaz"/>
        <w:spacing w:line="240" w:lineRule="exact"/>
        <w:ind w:firstLine="566"/>
        <w:rPr>
          <w:rFonts w:hAnsi="Times New Roman"/>
          <w:sz w:val="18"/>
          <w:szCs w:val="18"/>
        </w:rPr>
      </w:pPr>
      <w:r>
        <w:rPr>
          <w:rFonts w:hAnsi="Times New Roman"/>
          <w:sz w:val="18"/>
          <w:szCs w:val="18"/>
        </w:rPr>
        <w:t>(6) Ek-1’de belirtilen listede yer alan eşya bu Tebliğ kapsamı dışındadır.</w:t>
      </w:r>
    </w:p>
    <w:p w:rsidR="00B31DBA" w:rsidRDefault="00B31DBA" w:rsidP="00B31DBA">
      <w:pPr>
        <w:pStyle w:val="3-NormalYaz"/>
        <w:spacing w:line="240" w:lineRule="exact"/>
        <w:ind w:firstLine="566"/>
        <w:rPr>
          <w:rFonts w:hAnsi="Times New Roman"/>
          <w:b/>
          <w:sz w:val="18"/>
          <w:szCs w:val="18"/>
        </w:rPr>
      </w:pPr>
      <w:r>
        <w:rPr>
          <w:rFonts w:hAnsi="Times New Roman"/>
          <w:b/>
          <w:sz w:val="18"/>
          <w:szCs w:val="18"/>
        </w:rPr>
        <w:t>Karayoluyla aynı araçta gelen eşya</w:t>
      </w:r>
    </w:p>
    <w:p w:rsidR="00B31DBA" w:rsidRDefault="00B31DBA" w:rsidP="00B31DBA">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Karayoluyla aynı araçta gelen eşyanın bir kısmının tekstil eşyası diğer kısmının başka eşya olması durumunda, araç yükü eşyanın tamamının gümrük işlemleri 3 üncü maddenin birinci fıkrasında belirtilen gümrük müdürlükleri tarafından sonuçlandırılır.</w:t>
      </w:r>
    </w:p>
    <w:p w:rsidR="00B31DBA" w:rsidRDefault="00B31DBA" w:rsidP="00B31DBA">
      <w:pPr>
        <w:pStyle w:val="3-NormalYaz"/>
        <w:spacing w:line="240" w:lineRule="exact"/>
        <w:ind w:firstLine="566"/>
        <w:rPr>
          <w:rFonts w:hAnsi="Times New Roman"/>
          <w:b/>
          <w:sz w:val="18"/>
          <w:szCs w:val="18"/>
        </w:rPr>
      </w:pPr>
      <w:r>
        <w:rPr>
          <w:rFonts w:hAnsi="Times New Roman"/>
          <w:b/>
          <w:sz w:val="18"/>
          <w:szCs w:val="18"/>
        </w:rPr>
        <w:t xml:space="preserve">Tekstil eşyasını taşıyan taşıt aracının sevki </w:t>
      </w:r>
    </w:p>
    <w:p w:rsidR="00B31DBA" w:rsidRDefault="00B31DBA" w:rsidP="00B31DBA">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Bir kara hudut kapısına gelen ve bu Tebliğ kapsamı eşyayı taşıyan taşıt aracı sadece 3 üncü maddenin birinci fıkrasında belirtilen gümrük müdürlüklerine sevk edilir. Ancak, bir serbest bölgeye boşaltılmak istenen tekstil eşyası için bu hüküm uygulanmaz.</w:t>
      </w:r>
    </w:p>
    <w:p w:rsidR="00B31DBA" w:rsidRDefault="00B31DBA" w:rsidP="00B31DBA">
      <w:pPr>
        <w:pStyle w:val="3-NormalYaz"/>
        <w:spacing w:line="240" w:lineRule="exact"/>
        <w:ind w:firstLine="566"/>
        <w:rPr>
          <w:rFonts w:hAnsi="Times New Roman"/>
          <w:b/>
          <w:sz w:val="18"/>
          <w:szCs w:val="18"/>
        </w:rPr>
      </w:pPr>
      <w:r>
        <w:rPr>
          <w:rFonts w:hAnsi="Times New Roman"/>
          <w:b/>
          <w:sz w:val="18"/>
          <w:szCs w:val="18"/>
        </w:rPr>
        <w:t>Gümrük idarelerince düzenlenen dâhilde işleme izni kapsamında ithali yapılan tekstil eşyasında ihtisas uygulaması</w:t>
      </w:r>
    </w:p>
    <w:p w:rsidR="00B31DBA" w:rsidRDefault="00B31DBA" w:rsidP="00B31DBA">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Dahilde işleme izni kapsamında ithali yapılacak tekstil ve </w:t>
      </w:r>
      <w:proofErr w:type="gramStart"/>
      <w:r>
        <w:rPr>
          <w:rFonts w:hAnsi="Times New Roman"/>
          <w:sz w:val="18"/>
          <w:szCs w:val="18"/>
        </w:rPr>
        <w:t>konfeksiyon</w:t>
      </w:r>
      <w:proofErr w:type="gramEnd"/>
      <w:r>
        <w:rPr>
          <w:rFonts w:hAnsi="Times New Roman"/>
          <w:sz w:val="18"/>
          <w:szCs w:val="18"/>
        </w:rPr>
        <w:t xml:space="preserve"> ana maddeleri ile ilgili olarak, bu Tebliğ ve bu Tebliğde belirtilen istisnai durumlar dışında kalan durumlarda;</w:t>
      </w:r>
    </w:p>
    <w:p w:rsidR="00B31DBA" w:rsidRDefault="00B31DBA" w:rsidP="00B31DBA">
      <w:pPr>
        <w:pStyle w:val="3-NormalYaz"/>
        <w:spacing w:line="240" w:lineRule="exact"/>
        <w:ind w:firstLine="566"/>
        <w:rPr>
          <w:rFonts w:hAnsi="Times New Roman"/>
          <w:sz w:val="18"/>
          <w:szCs w:val="18"/>
        </w:rPr>
      </w:pPr>
      <w:r>
        <w:rPr>
          <w:rFonts w:hAnsi="Times New Roman"/>
          <w:sz w:val="18"/>
          <w:szCs w:val="18"/>
        </w:rPr>
        <w:t xml:space="preserve">a) Üçüncü ülkelerden tekstil ve </w:t>
      </w:r>
      <w:proofErr w:type="gramStart"/>
      <w:r>
        <w:rPr>
          <w:rFonts w:hAnsi="Times New Roman"/>
          <w:sz w:val="18"/>
          <w:szCs w:val="18"/>
        </w:rPr>
        <w:t>konfeksiyon</w:t>
      </w:r>
      <w:proofErr w:type="gramEnd"/>
      <w:r>
        <w:rPr>
          <w:rFonts w:hAnsi="Times New Roman"/>
          <w:sz w:val="18"/>
          <w:szCs w:val="18"/>
        </w:rPr>
        <w:t xml:space="preserve"> ana maddeleri (kimyevi ve yardımcı maddeler hariç) ithalatının tekstil ihtisas gümrüğü uygulaması çerçevesinde yetkili gümrük müdürlüklerinden,</w:t>
      </w:r>
    </w:p>
    <w:p w:rsidR="00B31DBA" w:rsidRDefault="00B31DBA" w:rsidP="00B31DBA">
      <w:pPr>
        <w:pStyle w:val="3-NormalYaz"/>
        <w:spacing w:line="240" w:lineRule="exact"/>
        <w:ind w:firstLine="566"/>
        <w:rPr>
          <w:rFonts w:hAnsi="Times New Roman"/>
          <w:sz w:val="18"/>
          <w:szCs w:val="18"/>
        </w:rPr>
      </w:pPr>
      <w:r>
        <w:rPr>
          <w:rFonts w:hAnsi="Times New Roman"/>
          <w:sz w:val="18"/>
          <w:szCs w:val="18"/>
        </w:rPr>
        <w:t xml:space="preserve">b) A.TR Belgesi ile tevsik edilmek kaydıyla serbest dolaşımdaki tekstil ve </w:t>
      </w:r>
      <w:proofErr w:type="gramStart"/>
      <w:r>
        <w:rPr>
          <w:rFonts w:hAnsi="Times New Roman"/>
          <w:sz w:val="18"/>
          <w:szCs w:val="18"/>
        </w:rPr>
        <w:t>konfeksiyon</w:t>
      </w:r>
      <w:proofErr w:type="gramEnd"/>
      <w:r>
        <w:rPr>
          <w:rFonts w:hAnsi="Times New Roman"/>
          <w:sz w:val="18"/>
          <w:szCs w:val="18"/>
        </w:rPr>
        <w:t xml:space="preserve"> ana maddeleri ithalatının tüm gümrük müdürlüklerinden,</w:t>
      </w:r>
    </w:p>
    <w:p w:rsidR="00B31DBA" w:rsidRDefault="00B31DBA" w:rsidP="00B31DBA">
      <w:pPr>
        <w:pStyle w:val="3-NormalYaz"/>
        <w:spacing w:line="240" w:lineRule="exact"/>
        <w:ind w:firstLine="566"/>
        <w:rPr>
          <w:rFonts w:hAnsi="Times New Roman"/>
          <w:sz w:val="18"/>
          <w:szCs w:val="18"/>
        </w:rPr>
      </w:pPr>
      <w:r>
        <w:rPr>
          <w:rFonts w:hAnsi="Times New Roman"/>
          <w:sz w:val="18"/>
          <w:szCs w:val="18"/>
        </w:rPr>
        <w:t xml:space="preserve">c) EUR.1 Belgesi ile tevsik edilmek kaydıyla EFTA ülkeleri ve Serbest Ticaret Anlaşması yapmış olduğumuz ülkelerden tekstil ve </w:t>
      </w:r>
      <w:proofErr w:type="gramStart"/>
      <w:r>
        <w:rPr>
          <w:rFonts w:hAnsi="Times New Roman"/>
          <w:sz w:val="18"/>
          <w:szCs w:val="18"/>
        </w:rPr>
        <w:t>konfeksiyon</w:t>
      </w:r>
      <w:proofErr w:type="gramEnd"/>
      <w:r>
        <w:rPr>
          <w:rFonts w:hAnsi="Times New Roman"/>
          <w:sz w:val="18"/>
          <w:szCs w:val="18"/>
        </w:rPr>
        <w:t xml:space="preserve"> ana maddeleri ithalatının tüm gümrük müdürlüklerinden,</w:t>
      </w:r>
    </w:p>
    <w:p w:rsidR="00B31DBA" w:rsidRDefault="00B31DBA" w:rsidP="00B31DBA">
      <w:pPr>
        <w:pStyle w:val="3-NormalYaz"/>
        <w:spacing w:line="240" w:lineRule="exact"/>
        <w:ind w:firstLine="566"/>
        <w:rPr>
          <w:rFonts w:hAnsi="Times New Roman"/>
          <w:sz w:val="18"/>
          <w:szCs w:val="18"/>
        </w:rPr>
      </w:pPr>
      <w:r>
        <w:rPr>
          <w:rFonts w:hAnsi="Times New Roman"/>
          <w:sz w:val="18"/>
          <w:szCs w:val="18"/>
        </w:rPr>
        <w:t xml:space="preserve">ç) Dış Ticaret Sermaye Şirketleri ve </w:t>
      </w:r>
      <w:proofErr w:type="spellStart"/>
      <w:r>
        <w:rPr>
          <w:rFonts w:hAnsi="Times New Roman"/>
          <w:sz w:val="18"/>
          <w:szCs w:val="18"/>
        </w:rPr>
        <w:t>Sektörel</w:t>
      </w:r>
      <w:proofErr w:type="spellEnd"/>
      <w:r>
        <w:rPr>
          <w:rFonts w:hAnsi="Times New Roman"/>
          <w:sz w:val="18"/>
          <w:szCs w:val="18"/>
        </w:rPr>
        <w:t xml:space="preserve"> Dış Ticaret Şirketlerinin tekstil ve </w:t>
      </w:r>
      <w:proofErr w:type="gramStart"/>
      <w:r>
        <w:rPr>
          <w:rFonts w:hAnsi="Times New Roman"/>
          <w:sz w:val="18"/>
          <w:szCs w:val="18"/>
        </w:rPr>
        <w:t>konfeksiyon</w:t>
      </w:r>
      <w:proofErr w:type="gramEnd"/>
      <w:r>
        <w:rPr>
          <w:rFonts w:hAnsi="Times New Roman"/>
          <w:sz w:val="18"/>
          <w:szCs w:val="18"/>
        </w:rPr>
        <w:t xml:space="preserve"> ana maddeleri ithalatının tüm gümrük müdürlüklerinden,</w:t>
      </w:r>
    </w:p>
    <w:p w:rsidR="00B31DBA" w:rsidRDefault="00B31DBA" w:rsidP="00B31DBA">
      <w:pPr>
        <w:pStyle w:val="3-NormalYaz"/>
        <w:spacing w:line="240" w:lineRule="exact"/>
        <w:ind w:firstLine="566"/>
        <w:rPr>
          <w:rFonts w:hAnsi="Times New Roman"/>
          <w:sz w:val="18"/>
          <w:szCs w:val="18"/>
        </w:rPr>
      </w:pPr>
      <w:r>
        <w:rPr>
          <w:rFonts w:hAnsi="Times New Roman"/>
          <w:sz w:val="18"/>
          <w:szCs w:val="18"/>
        </w:rPr>
        <w:t xml:space="preserve">d) Serbest bölgeye ihraç edilmiş olan Türk menşeli tekstil ve </w:t>
      </w:r>
      <w:proofErr w:type="gramStart"/>
      <w:r>
        <w:rPr>
          <w:rFonts w:hAnsi="Times New Roman"/>
          <w:sz w:val="18"/>
          <w:szCs w:val="18"/>
        </w:rPr>
        <w:t>konfeksiyon</w:t>
      </w:r>
      <w:proofErr w:type="gramEnd"/>
      <w:r>
        <w:rPr>
          <w:rFonts w:hAnsi="Times New Roman"/>
          <w:sz w:val="18"/>
          <w:szCs w:val="18"/>
        </w:rPr>
        <w:t xml:space="preserve"> ana maddelerinin Türkiye Gümrük Bölgesine ithalatının serbest bölge gümrük müdürlüklerinden,</w:t>
      </w:r>
    </w:p>
    <w:p w:rsidR="00B31DBA" w:rsidRDefault="00B31DBA" w:rsidP="00B31DBA">
      <w:pPr>
        <w:pStyle w:val="3-NormalYaz"/>
        <w:spacing w:line="240" w:lineRule="exact"/>
        <w:ind w:firstLine="566"/>
        <w:rPr>
          <w:rFonts w:hAnsi="Times New Roman"/>
          <w:sz w:val="18"/>
          <w:szCs w:val="18"/>
        </w:rPr>
      </w:pPr>
      <w:r>
        <w:rPr>
          <w:rFonts w:hAnsi="Times New Roman"/>
          <w:sz w:val="18"/>
          <w:szCs w:val="18"/>
        </w:rPr>
        <w:t xml:space="preserve">e) Onaylanmış Kişi Statüsüne sahip firmaların tekstil ve </w:t>
      </w:r>
      <w:proofErr w:type="gramStart"/>
      <w:r>
        <w:rPr>
          <w:rFonts w:hAnsi="Times New Roman"/>
          <w:sz w:val="18"/>
          <w:szCs w:val="18"/>
        </w:rPr>
        <w:t>konfeksiyon</w:t>
      </w:r>
      <w:proofErr w:type="gramEnd"/>
      <w:r>
        <w:rPr>
          <w:rFonts w:hAnsi="Times New Roman"/>
          <w:sz w:val="18"/>
          <w:szCs w:val="18"/>
        </w:rPr>
        <w:t xml:space="preserve"> ana maddeleri ithalatının tüm gümrük müdürlüklerinden,</w:t>
      </w:r>
    </w:p>
    <w:p w:rsidR="00B31DBA" w:rsidRDefault="00B31DBA" w:rsidP="00B31DBA">
      <w:pPr>
        <w:pStyle w:val="3-NormalYaz"/>
        <w:spacing w:line="240" w:lineRule="exact"/>
        <w:ind w:firstLine="566"/>
        <w:rPr>
          <w:rFonts w:hAnsi="Times New Roman"/>
          <w:sz w:val="18"/>
          <w:szCs w:val="18"/>
        </w:rPr>
      </w:pPr>
      <w:proofErr w:type="gramStart"/>
      <w:r>
        <w:rPr>
          <w:rFonts w:hAnsi="Times New Roman"/>
          <w:sz w:val="18"/>
          <w:szCs w:val="18"/>
        </w:rPr>
        <w:t>yapılması</w:t>
      </w:r>
      <w:proofErr w:type="gramEnd"/>
      <w:r>
        <w:rPr>
          <w:rFonts w:hAnsi="Times New Roman"/>
          <w:sz w:val="18"/>
          <w:szCs w:val="18"/>
        </w:rPr>
        <w:t xml:space="preserve"> gerekmektedir.</w:t>
      </w:r>
    </w:p>
    <w:p w:rsidR="00B31DBA" w:rsidRDefault="00B31DBA" w:rsidP="00B31DBA">
      <w:pPr>
        <w:pStyle w:val="3-NormalYaz"/>
        <w:spacing w:line="240" w:lineRule="exact"/>
        <w:ind w:firstLine="566"/>
        <w:rPr>
          <w:rFonts w:hAnsi="Times New Roman"/>
          <w:b/>
          <w:sz w:val="18"/>
          <w:szCs w:val="18"/>
        </w:rPr>
      </w:pPr>
      <w:r>
        <w:rPr>
          <w:rFonts w:hAnsi="Times New Roman"/>
          <w:b/>
          <w:sz w:val="18"/>
          <w:szCs w:val="18"/>
        </w:rPr>
        <w:t>Özel ve zorunlu durumlar</w:t>
      </w:r>
    </w:p>
    <w:p w:rsidR="00B31DBA" w:rsidRDefault="00B31DBA" w:rsidP="00B31DBA">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Gümrük ve Ticaret Bakanlığı (Gümrükler Genel Müdürlüğü) bu Tebliğin uygulanması sırasında ortaya çıkan özel ve zorunlu durumları inceleyip sonuçlandırmaya yetkilidir.</w:t>
      </w:r>
    </w:p>
    <w:p w:rsidR="00B31DBA" w:rsidRDefault="00B31DBA" w:rsidP="00B31DBA">
      <w:pPr>
        <w:pStyle w:val="3-NormalYaz"/>
        <w:spacing w:line="240" w:lineRule="exact"/>
        <w:ind w:firstLine="566"/>
        <w:rPr>
          <w:rFonts w:hAnsi="Times New Roman"/>
          <w:b/>
          <w:sz w:val="18"/>
          <w:szCs w:val="18"/>
        </w:rPr>
      </w:pPr>
      <w:r>
        <w:rPr>
          <w:rFonts w:hAnsi="Times New Roman"/>
          <w:b/>
          <w:sz w:val="18"/>
          <w:szCs w:val="18"/>
        </w:rPr>
        <w:t>Yürürlükten kaldırılan mevzuat</w:t>
      </w:r>
    </w:p>
    <w:p w:rsidR="00B31DBA" w:rsidRDefault="00B31DBA" w:rsidP="00B31DBA">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w:t>
      </w:r>
      <w:proofErr w:type="gramStart"/>
      <w:r>
        <w:rPr>
          <w:rFonts w:hAnsi="Times New Roman"/>
          <w:sz w:val="18"/>
          <w:szCs w:val="18"/>
        </w:rPr>
        <w:t>26/4/2007</w:t>
      </w:r>
      <w:proofErr w:type="gramEnd"/>
      <w:r>
        <w:rPr>
          <w:rFonts w:hAnsi="Times New Roman"/>
          <w:sz w:val="18"/>
          <w:szCs w:val="18"/>
        </w:rPr>
        <w:t xml:space="preserve"> tarihli ve 26504 sayılı Resmî Gazete'de yayımlanan Gümrük Genel Tebliği (Gümrük İşlemleri Seri No: 55) yürürlükten kaldırılmıştır.</w:t>
      </w:r>
    </w:p>
    <w:p w:rsidR="00B31DBA" w:rsidRDefault="00B31DBA" w:rsidP="00B31DBA">
      <w:pPr>
        <w:pStyle w:val="3-NormalYaz"/>
        <w:spacing w:line="240" w:lineRule="exact"/>
        <w:ind w:firstLine="566"/>
        <w:rPr>
          <w:rFonts w:hAnsi="Times New Roman"/>
          <w:b/>
          <w:sz w:val="18"/>
          <w:szCs w:val="18"/>
        </w:rPr>
      </w:pPr>
      <w:r>
        <w:rPr>
          <w:rFonts w:hAnsi="Times New Roman"/>
          <w:b/>
          <w:sz w:val="18"/>
          <w:szCs w:val="18"/>
        </w:rPr>
        <w:t>Yürürlük</w:t>
      </w:r>
    </w:p>
    <w:p w:rsidR="00B31DBA" w:rsidRDefault="00B31DBA" w:rsidP="00B31DBA">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Bu Tebliğ yayımı tarihinde yürürlüğe girer.</w:t>
      </w:r>
    </w:p>
    <w:p w:rsidR="00B31DBA" w:rsidRDefault="00B31DBA" w:rsidP="00B31DBA">
      <w:pPr>
        <w:pStyle w:val="3-NormalYaz"/>
        <w:spacing w:line="240" w:lineRule="exact"/>
        <w:ind w:firstLine="566"/>
        <w:rPr>
          <w:rFonts w:hAnsi="Times New Roman"/>
          <w:b/>
          <w:sz w:val="18"/>
          <w:szCs w:val="18"/>
        </w:rPr>
      </w:pPr>
      <w:r>
        <w:rPr>
          <w:rFonts w:hAnsi="Times New Roman"/>
          <w:b/>
          <w:sz w:val="18"/>
          <w:szCs w:val="18"/>
        </w:rPr>
        <w:t>Yürütme</w:t>
      </w:r>
    </w:p>
    <w:p w:rsidR="00B31DBA" w:rsidRDefault="00B31DBA" w:rsidP="00B31DBA">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Bu Tebliğ hükümlerini Gümrük ve Ticaret Bakanı yürütür.</w:t>
      </w:r>
    </w:p>
    <w:p w:rsidR="00B31DBA" w:rsidRDefault="00B31DBA" w:rsidP="00B31DBA">
      <w:pPr>
        <w:pStyle w:val="3-NormalYaz"/>
        <w:spacing w:line="240" w:lineRule="exact"/>
        <w:jc w:val="center"/>
        <w:rPr>
          <w:rStyle w:val="Normal1"/>
          <w:rFonts w:eastAsia="ヒラギノ明朝Pro W3"/>
          <w:sz w:val="18"/>
          <w:lang w:val="tr-TR"/>
        </w:rPr>
      </w:pPr>
    </w:p>
    <w:p w:rsidR="00B31DBA" w:rsidRDefault="00B31DBA" w:rsidP="00B31DBA">
      <w:pPr>
        <w:pStyle w:val="3-NormalYaz"/>
        <w:spacing w:line="240" w:lineRule="exact"/>
        <w:jc w:val="center"/>
        <w:rPr>
          <w:rStyle w:val="Normal1"/>
          <w:rFonts w:eastAsia="ヒラギノ明朝Pro W3"/>
          <w:sz w:val="18"/>
          <w:szCs w:val="18"/>
        </w:rPr>
      </w:pPr>
    </w:p>
    <w:p w:rsidR="00B31DBA" w:rsidRDefault="00B31DBA" w:rsidP="00B31DBA">
      <w:pPr>
        <w:pStyle w:val="3-NormalYaz"/>
        <w:spacing w:line="240" w:lineRule="exact"/>
        <w:jc w:val="left"/>
        <w:rPr>
          <w:rStyle w:val="Normal1"/>
          <w:rFonts w:eastAsia="ヒラギノ明朝Pro W3"/>
          <w:b/>
          <w:bCs/>
          <w:sz w:val="18"/>
          <w:szCs w:val="18"/>
        </w:rPr>
      </w:pPr>
      <w:hyperlink r:id="rId4" w:history="1">
        <w:r>
          <w:rPr>
            <w:rStyle w:val="Kpr"/>
            <w:rFonts w:eastAsia="ヒラギノ明朝Pro W3" w:hAnsi="Times New Roman"/>
            <w:b/>
            <w:bCs/>
            <w:sz w:val="18"/>
            <w:szCs w:val="18"/>
            <w:u w:val="none"/>
          </w:rPr>
          <w:t>Eki için tıklayınız.</w:t>
        </w:r>
      </w:hyperlink>
    </w:p>
    <w:p w:rsidR="00A13F61" w:rsidRDefault="00A13F61" w:rsidP="00B31DBA">
      <w:pPr>
        <w:tabs>
          <w:tab w:val="left" w:pos="566"/>
          <w:tab w:val="center" w:pos="3543"/>
        </w:tabs>
        <w:spacing w:after="0" w:line="240" w:lineRule="exact"/>
        <w:rPr>
          <w:rFonts w:hAnsi="Times New Roman"/>
          <w:sz w:val="18"/>
          <w:szCs w:val="18"/>
        </w:rPr>
      </w:pPr>
      <w:r>
        <w:rPr>
          <w:rFonts w:hAnsi="Times New Roman"/>
          <w:sz w:val="18"/>
          <w:szCs w:val="18"/>
        </w:rPr>
        <w:t xml:space="preserve"> </w:t>
      </w:r>
    </w:p>
    <w:p w:rsidR="00A13F61" w:rsidRDefault="00A13F61" w:rsidP="001A1546">
      <w:pPr>
        <w:tabs>
          <w:tab w:val="left" w:pos="566"/>
          <w:tab w:val="center" w:pos="3543"/>
        </w:tabs>
        <w:spacing w:after="0" w:line="240" w:lineRule="exact"/>
        <w:rPr>
          <w:rFonts w:ascii="Times New Roman" w:eastAsia="Times New Roman" w:hAnsi="Times New Roman" w:cs="Times New Roman"/>
          <w:b/>
          <w:sz w:val="18"/>
          <w:lang w:val="en-GB" w:eastAsia="tr-TR"/>
        </w:rPr>
      </w:pPr>
    </w:p>
    <w:sectPr w:rsidR="00A13F6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Pro W3">
    <w:panose1 w:val="00000000000000000000"/>
    <w:charset w:val="80"/>
    <w:family w:val="roman"/>
    <w:notTrueType/>
    <w:pitch w:val="default"/>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4594C"/>
    <w:rsid w:val="0005336C"/>
    <w:rsid w:val="00054B10"/>
    <w:rsid w:val="00057917"/>
    <w:rsid w:val="000679A9"/>
    <w:rsid w:val="00070398"/>
    <w:rsid w:val="00071A2F"/>
    <w:rsid w:val="00085DDB"/>
    <w:rsid w:val="0009633A"/>
    <w:rsid w:val="000B3DBA"/>
    <w:rsid w:val="000C212A"/>
    <w:rsid w:val="001041EE"/>
    <w:rsid w:val="00120BB8"/>
    <w:rsid w:val="00121481"/>
    <w:rsid w:val="00173570"/>
    <w:rsid w:val="00174FC7"/>
    <w:rsid w:val="00190AD2"/>
    <w:rsid w:val="00192895"/>
    <w:rsid w:val="001A1546"/>
    <w:rsid w:val="001A17C8"/>
    <w:rsid w:val="001A3B7D"/>
    <w:rsid w:val="001A57F0"/>
    <w:rsid w:val="001B600B"/>
    <w:rsid w:val="001F4F88"/>
    <w:rsid w:val="001F5332"/>
    <w:rsid w:val="001F610D"/>
    <w:rsid w:val="002154BC"/>
    <w:rsid w:val="00226FDD"/>
    <w:rsid w:val="00230137"/>
    <w:rsid w:val="002344DB"/>
    <w:rsid w:val="00255D66"/>
    <w:rsid w:val="002566FC"/>
    <w:rsid w:val="002B4AF0"/>
    <w:rsid w:val="002B4EC9"/>
    <w:rsid w:val="00304A58"/>
    <w:rsid w:val="00317A78"/>
    <w:rsid w:val="00337C5F"/>
    <w:rsid w:val="0037350C"/>
    <w:rsid w:val="00387C71"/>
    <w:rsid w:val="003A313C"/>
    <w:rsid w:val="003C0347"/>
    <w:rsid w:val="003C1F4E"/>
    <w:rsid w:val="003D1A50"/>
    <w:rsid w:val="003D4706"/>
    <w:rsid w:val="003D66A0"/>
    <w:rsid w:val="003E78C7"/>
    <w:rsid w:val="003F1FF2"/>
    <w:rsid w:val="00401901"/>
    <w:rsid w:val="00413165"/>
    <w:rsid w:val="00421AF3"/>
    <w:rsid w:val="00422993"/>
    <w:rsid w:val="00432B0B"/>
    <w:rsid w:val="00436ABA"/>
    <w:rsid w:val="00443366"/>
    <w:rsid w:val="004455DE"/>
    <w:rsid w:val="004516C8"/>
    <w:rsid w:val="00476FCA"/>
    <w:rsid w:val="004814E7"/>
    <w:rsid w:val="0049683C"/>
    <w:rsid w:val="00497F13"/>
    <w:rsid w:val="004A3188"/>
    <w:rsid w:val="004D486C"/>
    <w:rsid w:val="004E1C0B"/>
    <w:rsid w:val="004F1958"/>
    <w:rsid w:val="00504EE5"/>
    <w:rsid w:val="00510570"/>
    <w:rsid w:val="00511677"/>
    <w:rsid w:val="005255AB"/>
    <w:rsid w:val="00530BB6"/>
    <w:rsid w:val="00537F0B"/>
    <w:rsid w:val="00541D63"/>
    <w:rsid w:val="0055250B"/>
    <w:rsid w:val="00560BED"/>
    <w:rsid w:val="00576861"/>
    <w:rsid w:val="005B42A5"/>
    <w:rsid w:val="005D4E02"/>
    <w:rsid w:val="005D7BE7"/>
    <w:rsid w:val="005E22C7"/>
    <w:rsid w:val="005E355C"/>
    <w:rsid w:val="005E4D72"/>
    <w:rsid w:val="005F4336"/>
    <w:rsid w:val="00601F8B"/>
    <w:rsid w:val="0060477D"/>
    <w:rsid w:val="00604F0D"/>
    <w:rsid w:val="00627628"/>
    <w:rsid w:val="006553FA"/>
    <w:rsid w:val="0066388C"/>
    <w:rsid w:val="00675F74"/>
    <w:rsid w:val="006A22BA"/>
    <w:rsid w:val="006E556D"/>
    <w:rsid w:val="006F662A"/>
    <w:rsid w:val="006F7738"/>
    <w:rsid w:val="0073019D"/>
    <w:rsid w:val="00743374"/>
    <w:rsid w:val="0075602A"/>
    <w:rsid w:val="0076633F"/>
    <w:rsid w:val="007716A4"/>
    <w:rsid w:val="00785D8B"/>
    <w:rsid w:val="007A478C"/>
    <w:rsid w:val="007B7523"/>
    <w:rsid w:val="007D4BEE"/>
    <w:rsid w:val="007E51B7"/>
    <w:rsid w:val="007E7E70"/>
    <w:rsid w:val="007F4DB8"/>
    <w:rsid w:val="007F4F70"/>
    <w:rsid w:val="00806D76"/>
    <w:rsid w:val="0082071C"/>
    <w:rsid w:val="00826BA4"/>
    <w:rsid w:val="008661A5"/>
    <w:rsid w:val="00880D43"/>
    <w:rsid w:val="00884BE9"/>
    <w:rsid w:val="008A4074"/>
    <w:rsid w:val="008C5F26"/>
    <w:rsid w:val="008C7794"/>
    <w:rsid w:val="008D1728"/>
    <w:rsid w:val="008E6F06"/>
    <w:rsid w:val="008F7815"/>
    <w:rsid w:val="00907F78"/>
    <w:rsid w:val="009356B6"/>
    <w:rsid w:val="0093645D"/>
    <w:rsid w:val="0095103D"/>
    <w:rsid w:val="00955508"/>
    <w:rsid w:val="00970F04"/>
    <w:rsid w:val="009F1AA3"/>
    <w:rsid w:val="009F2D7D"/>
    <w:rsid w:val="00A01D20"/>
    <w:rsid w:val="00A024CD"/>
    <w:rsid w:val="00A13F61"/>
    <w:rsid w:val="00A26545"/>
    <w:rsid w:val="00A50EA8"/>
    <w:rsid w:val="00A56163"/>
    <w:rsid w:val="00A75487"/>
    <w:rsid w:val="00A81FD8"/>
    <w:rsid w:val="00A830CB"/>
    <w:rsid w:val="00A86A0A"/>
    <w:rsid w:val="00A86C21"/>
    <w:rsid w:val="00A973F8"/>
    <w:rsid w:val="00AA56E8"/>
    <w:rsid w:val="00AF10DD"/>
    <w:rsid w:val="00B02D71"/>
    <w:rsid w:val="00B1197C"/>
    <w:rsid w:val="00B31DBA"/>
    <w:rsid w:val="00B52F65"/>
    <w:rsid w:val="00B8184E"/>
    <w:rsid w:val="00B86757"/>
    <w:rsid w:val="00BE08E0"/>
    <w:rsid w:val="00BF2824"/>
    <w:rsid w:val="00BF3772"/>
    <w:rsid w:val="00C32D12"/>
    <w:rsid w:val="00C32E46"/>
    <w:rsid w:val="00C41774"/>
    <w:rsid w:val="00C5193A"/>
    <w:rsid w:val="00C524D2"/>
    <w:rsid w:val="00CA6EEC"/>
    <w:rsid w:val="00CB2C30"/>
    <w:rsid w:val="00CC508E"/>
    <w:rsid w:val="00CE72C5"/>
    <w:rsid w:val="00CF7B26"/>
    <w:rsid w:val="00D0464C"/>
    <w:rsid w:val="00D051D6"/>
    <w:rsid w:val="00D255BD"/>
    <w:rsid w:val="00D26E3F"/>
    <w:rsid w:val="00D34F04"/>
    <w:rsid w:val="00D42B71"/>
    <w:rsid w:val="00D440A9"/>
    <w:rsid w:val="00D62F67"/>
    <w:rsid w:val="00D656CE"/>
    <w:rsid w:val="00D7264A"/>
    <w:rsid w:val="00D8790C"/>
    <w:rsid w:val="00D9034D"/>
    <w:rsid w:val="00D90CFD"/>
    <w:rsid w:val="00D91C31"/>
    <w:rsid w:val="00D94869"/>
    <w:rsid w:val="00DA3D4C"/>
    <w:rsid w:val="00DB5650"/>
    <w:rsid w:val="00DB6EC4"/>
    <w:rsid w:val="00DC16CD"/>
    <w:rsid w:val="00DC2F04"/>
    <w:rsid w:val="00DE6463"/>
    <w:rsid w:val="00DE74FA"/>
    <w:rsid w:val="00DF361E"/>
    <w:rsid w:val="00DF6078"/>
    <w:rsid w:val="00E2042C"/>
    <w:rsid w:val="00E31D31"/>
    <w:rsid w:val="00E51039"/>
    <w:rsid w:val="00E712D9"/>
    <w:rsid w:val="00E818DC"/>
    <w:rsid w:val="00E940A0"/>
    <w:rsid w:val="00EA3797"/>
    <w:rsid w:val="00EA6AC3"/>
    <w:rsid w:val="00EB6368"/>
    <w:rsid w:val="00EC459A"/>
    <w:rsid w:val="00EE27DE"/>
    <w:rsid w:val="00F108DF"/>
    <w:rsid w:val="00F16D1E"/>
    <w:rsid w:val="00F73E63"/>
    <w:rsid w:val="00F76D09"/>
    <w:rsid w:val="00F801BA"/>
    <w:rsid w:val="00F836B4"/>
    <w:rsid w:val="00F95946"/>
    <w:rsid w:val="00FB5C22"/>
    <w:rsid w:val="00FD40C1"/>
    <w:rsid w:val="00FE36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character" w:customStyle="1" w:styleId="KonuBalChar">
    <w:name w:val="Konu Başlığı Char"/>
    <w:basedOn w:val="VarsaylanParagrafYazTipi"/>
    <w:link w:val="KonuBal"/>
    <w:locked/>
    <w:rsid w:val="001F5332"/>
    <w:rPr>
      <w:sz w:val="24"/>
      <w:lang w:eastAsia="tr-TR"/>
    </w:rPr>
  </w:style>
  <w:style w:type="paragraph" w:styleId="KonuBal">
    <w:name w:val="Title"/>
    <w:basedOn w:val="Normal"/>
    <w:link w:val="KonuBalChar"/>
    <w:qFormat/>
    <w:rsid w:val="001F5332"/>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1F533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3/02/20130227-4-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825</Words>
  <Characters>4704</Characters>
  <Application>Microsoft Office Word</Application>
  <DocSecurity>0</DocSecurity>
  <Lines>39</Lines>
  <Paragraphs>11</Paragraphs>
  <ScaleCrop>false</ScaleCrop>
  <Company>TURMOB</Company>
  <LinksUpToDate>false</LinksUpToDate>
  <CharactersWithSpaces>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199</cp:revision>
  <cp:lastPrinted>2013-01-07T06:33:00Z</cp:lastPrinted>
  <dcterms:created xsi:type="dcterms:W3CDTF">2013-01-02T06:53:00Z</dcterms:created>
  <dcterms:modified xsi:type="dcterms:W3CDTF">2013-02-27T06:27:00Z</dcterms:modified>
</cp:coreProperties>
</file>