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D52AC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09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28582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C6289" w:rsidRDefault="00DC6289" w:rsidP="00DC6289">
      <w:pPr>
        <w:pStyle w:val="2-OrtaBaslk"/>
        <w:spacing w:line="240" w:lineRule="exact"/>
        <w:ind w:firstLine="566"/>
        <w:jc w:val="both"/>
        <w:rPr>
          <w:rStyle w:val="Normal1"/>
          <w:rFonts w:eastAsia="ヒラギノ明朝Pro W3"/>
          <w:b w:val="0"/>
          <w:sz w:val="18"/>
          <w:szCs w:val="18"/>
          <w:u w:val="single"/>
          <w:lang w:val="tr-TR"/>
        </w:rPr>
      </w:pP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Sermaye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Piyasası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Kurulundan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>:</w:t>
      </w:r>
    </w:p>
    <w:p w:rsidR="00DC6289" w:rsidRDefault="00DC6289" w:rsidP="00DC6289">
      <w:pPr>
        <w:pStyle w:val="2-OrtaBaslk"/>
        <w:spacing w:line="240" w:lineRule="exact"/>
        <w:rPr>
          <w:rStyle w:val="Normal1"/>
          <w:rFonts w:eastAsia="ヒラギノ明朝Pro W3"/>
          <w:sz w:val="18"/>
          <w:szCs w:val="18"/>
        </w:rPr>
      </w:pPr>
      <w:r>
        <w:rPr>
          <w:rStyle w:val="Normal1"/>
          <w:rFonts w:eastAsia="ヒラギノ明朝Pro W3"/>
          <w:sz w:val="18"/>
          <w:szCs w:val="18"/>
        </w:rPr>
        <w:t>SERMAYE PİYASASI KURULU KARARI</w:t>
      </w:r>
    </w:p>
    <w:p w:rsidR="00DC6289" w:rsidRDefault="00DC6289" w:rsidP="00DC6289">
      <w:pPr>
        <w:pStyle w:val="2-OrtaBaslk"/>
        <w:tabs>
          <w:tab w:val="right" w:pos="8391"/>
        </w:tabs>
        <w:spacing w:line="240" w:lineRule="exact"/>
        <w:ind w:firstLine="566"/>
        <w:jc w:val="both"/>
        <w:rPr>
          <w:rStyle w:val="Normal1"/>
          <w:rFonts w:eastAsia="ヒラギノ明朝Pro W3"/>
          <w:bCs/>
          <w:sz w:val="18"/>
          <w:szCs w:val="18"/>
          <w:u w:val="single"/>
        </w:rPr>
      </w:pPr>
      <w:proofErr w:type="spellStart"/>
      <w:r>
        <w:rPr>
          <w:rStyle w:val="Normal1"/>
          <w:rFonts w:eastAsia="ヒラギノ明朝Pro W3"/>
          <w:bCs/>
          <w:sz w:val="18"/>
          <w:szCs w:val="18"/>
        </w:rPr>
        <w:t>Karar</w:t>
      </w:r>
      <w:proofErr w:type="spellEnd"/>
      <w:r>
        <w:rPr>
          <w:rStyle w:val="Normal1"/>
          <w:rFonts w:eastAsia="ヒラギノ明朝Pro W3"/>
          <w:bCs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Cs/>
          <w:sz w:val="18"/>
          <w:szCs w:val="18"/>
        </w:rPr>
        <w:t>Sayısı</w:t>
      </w:r>
      <w:proofErr w:type="spellEnd"/>
      <w:r>
        <w:rPr>
          <w:rStyle w:val="Normal1"/>
          <w:rFonts w:eastAsia="ヒラギノ明朝Pro W3"/>
          <w:bCs/>
          <w:sz w:val="18"/>
          <w:szCs w:val="18"/>
        </w:rPr>
        <w:t>: 203</w:t>
      </w:r>
      <w:r>
        <w:rPr>
          <w:rStyle w:val="Normal1"/>
          <w:rFonts w:eastAsia="ヒラギノ明朝Pro W3"/>
          <w:bCs/>
          <w:sz w:val="18"/>
          <w:szCs w:val="18"/>
        </w:rPr>
        <w:tab/>
      </w:r>
      <w:proofErr w:type="spellStart"/>
      <w:r>
        <w:rPr>
          <w:rStyle w:val="Normal1"/>
          <w:rFonts w:eastAsia="ヒラギノ明朝Pro W3"/>
          <w:bCs/>
          <w:sz w:val="18"/>
          <w:szCs w:val="18"/>
        </w:rPr>
        <w:t>Karar</w:t>
      </w:r>
      <w:proofErr w:type="spellEnd"/>
      <w:r>
        <w:rPr>
          <w:rStyle w:val="Normal1"/>
          <w:rFonts w:eastAsia="ヒラギノ明朝Pro W3"/>
          <w:bCs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Cs/>
          <w:sz w:val="18"/>
          <w:szCs w:val="18"/>
        </w:rPr>
        <w:t>Tarihi</w:t>
      </w:r>
      <w:proofErr w:type="spellEnd"/>
      <w:r>
        <w:rPr>
          <w:rStyle w:val="Normal1"/>
          <w:rFonts w:eastAsia="ヒラギノ明朝Pro W3"/>
          <w:bCs/>
          <w:sz w:val="18"/>
          <w:szCs w:val="18"/>
        </w:rPr>
        <w:t>: 22/2/2013</w:t>
      </w:r>
    </w:p>
    <w:p w:rsidR="00DC6289" w:rsidRDefault="00DC6289" w:rsidP="00DC6289">
      <w:pPr>
        <w:pStyle w:val="2-OrtaBaslk"/>
        <w:spacing w:line="240" w:lineRule="exact"/>
        <w:ind w:firstLine="566"/>
        <w:jc w:val="both"/>
        <w:rPr>
          <w:rStyle w:val="Normal1"/>
          <w:rFonts w:eastAsia="ヒラギノ明朝Pro W3"/>
          <w:b w:val="0"/>
          <w:sz w:val="18"/>
          <w:szCs w:val="18"/>
        </w:rPr>
      </w:pP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Kurul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Karar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Organı’nın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22/2/2013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tarihli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6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sayılı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toplantısında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, 6362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sayılı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Sermaye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Piyasası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Kanunu’nun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76’ncı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maddesi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hükmü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uyarınca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,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Türkiye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Uzmanları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Birliği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üyelerinin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vereceği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hizmetlerine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ilişkin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olarak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, 2013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yılı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Gayrimenkul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Asgari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Tarifesi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Uygulama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Esaslarının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aşağıdaki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şekilde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belirlenmesine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karar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verilmiştir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>.</w:t>
      </w:r>
    </w:p>
    <w:p w:rsidR="00DC6289" w:rsidRDefault="00DC6289" w:rsidP="00DC6289">
      <w:pPr>
        <w:pStyle w:val="2-OrtaBaslk"/>
        <w:spacing w:line="240" w:lineRule="exact"/>
        <w:rPr>
          <w:rStyle w:val="Normal1"/>
          <w:rFonts w:eastAsia="ヒラギノ明朝Pro W3"/>
          <w:sz w:val="18"/>
          <w:szCs w:val="18"/>
        </w:rPr>
      </w:pPr>
      <w:r>
        <w:rPr>
          <w:rStyle w:val="Normal1"/>
          <w:rFonts w:eastAsia="ヒラギノ明朝Pro W3"/>
          <w:sz w:val="18"/>
          <w:szCs w:val="18"/>
        </w:rPr>
        <w:t>GAYRİMENKUL DEĞERLEME ASGARİ ÜCRET UYGULAMA ESASLARI</w:t>
      </w:r>
    </w:p>
    <w:p w:rsidR="00DC6289" w:rsidRDefault="00DC6289" w:rsidP="00DC6289">
      <w:pPr>
        <w:pStyle w:val="2-OrtaBaslk"/>
        <w:spacing w:line="240" w:lineRule="exact"/>
        <w:ind w:firstLine="566"/>
        <w:jc w:val="both"/>
        <w:rPr>
          <w:rStyle w:val="Normal1"/>
          <w:rFonts w:eastAsia="ヒラギノ明朝Pro W3"/>
          <w:b w:val="0"/>
          <w:sz w:val="18"/>
          <w:szCs w:val="18"/>
        </w:rPr>
      </w:pPr>
      <w:proofErr w:type="gramStart"/>
      <w:r>
        <w:rPr>
          <w:rStyle w:val="Normal1"/>
          <w:rFonts w:eastAsia="ヒラギノ明朝Pro W3"/>
          <w:sz w:val="18"/>
          <w:szCs w:val="18"/>
        </w:rPr>
        <w:t xml:space="preserve">6362 </w:t>
      </w:r>
      <w:proofErr w:type="spellStart"/>
      <w:r>
        <w:rPr>
          <w:rStyle w:val="Normal1"/>
          <w:rFonts w:eastAsia="ヒラギノ明朝Pro W3"/>
          <w:sz w:val="18"/>
          <w:szCs w:val="18"/>
        </w:rPr>
        <w:t>sayılı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Sermaye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Piyasası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Kanunu’nun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76.</w:t>
      </w:r>
      <w:proofErr w:type="gram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Maddesinin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Altıncı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Fıkrası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Uyarınca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Belirlenen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; </w:t>
      </w:r>
      <w:proofErr w:type="spellStart"/>
      <w:r>
        <w:rPr>
          <w:rStyle w:val="Normal1"/>
          <w:rFonts w:eastAsia="ヒラギノ明朝Pro W3"/>
          <w:sz w:val="18"/>
          <w:szCs w:val="18"/>
        </w:rPr>
        <w:t>Türkiye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Uzmanları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Birliği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Üyelerinin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Vereceği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Hizmetlerine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İlişkin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Ücretlerin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Tutarlarına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ve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Sınırlarına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İlişkin</w:t>
      </w:r>
      <w:proofErr w:type="spellEnd"/>
      <w:r>
        <w:rPr>
          <w:rStyle w:val="Normal1"/>
          <w:rFonts w:eastAsia="ヒラギノ明朝Pro W3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sz w:val="18"/>
          <w:szCs w:val="18"/>
        </w:rPr>
        <w:t>Esaslar</w:t>
      </w:r>
      <w:proofErr w:type="spellEnd"/>
    </w:p>
    <w:p w:rsidR="00DC6289" w:rsidRDefault="00DC6289" w:rsidP="00DC6289">
      <w:pPr>
        <w:pStyle w:val="2-OrtaBaslk"/>
        <w:spacing w:line="240" w:lineRule="exact"/>
        <w:ind w:firstLine="566"/>
        <w:jc w:val="both"/>
        <w:rPr>
          <w:rStyle w:val="Normal1"/>
          <w:rFonts w:eastAsia="ヒラギノ明朝Pro W3"/>
          <w:b w:val="0"/>
          <w:sz w:val="18"/>
          <w:szCs w:val="18"/>
        </w:rPr>
      </w:pPr>
      <w:r>
        <w:rPr>
          <w:rStyle w:val="Normal1"/>
          <w:rFonts w:eastAsia="ヒラギノ明朝Pro W3"/>
          <w:sz w:val="18"/>
          <w:szCs w:val="18"/>
        </w:rPr>
        <w:t xml:space="preserve">1)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Türkiye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Uzmanları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Birliği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(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Birlik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)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üyelerinin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müşterilerine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vereceği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hizmetleri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karşılığında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tahsil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edilecek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ücretlerde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işbu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esaslar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ile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ekte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yer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proofErr w:type="gramStart"/>
      <w:r>
        <w:rPr>
          <w:rStyle w:val="Normal1"/>
          <w:rFonts w:eastAsia="ヒラギノ明朝Pro W3"/>
          <w:b w:val="0"/>
          <w:sz w:val="18"/>
          <w:szCs w:val="18"/>
        </w:rPr>
        <w:t>alan</w:t>
      </w:r>
      <w:proofErr w:type="spellEnd"/>
      <w:proofErr w:type="gram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asgari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tarifesi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uygulanır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.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İşbu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esasların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ekinde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yer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proofErr w:type="gramStart"/>
      <w:r>
        <w:rPr>
          <w:rStyle w:val="Normal1"/>
          <w:rFonts w:eastAsia="ヒラギノ明朝Pro W3"/>
          <w:b w:val="0"/>
          <w:sz w:val="18"/>
          <w:szCs w:val="18"/>
        </w:rPr>
        <w:t>alan</w:t>
      </w:r>
      <w:proofErr w:type="spellEnd"/>
      <w:proofErr w:type="gram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ücretlerin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tutarları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asgari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nitelikte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olup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taraflarca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işin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özelliğine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göre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daha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yüksek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bir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belirlenebilir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>.</w:t>
      </w:r>
    </w:p>
    <w:p w:rsidR="00DC6289" w:rsidRDefault="00DC6289" w:rsidP="00DC6289">
      <w:pPr>
        <w:pStyle w:val="2-OrtaBaslk"/>
        <w:spacing w:line="240" w:lineRule="exact"/>
        <w:ind w:firstLine="566"/>
        <w:jc w:val="both"/>
        <w:rPr>
          <w:rStyle w:val="Normal1"/>
          <w:rFonts w:eastAsia="ヒラギノ明朝Pro W3"/>
          <w:b w:val="0"/>
          <w:sz w:val="18"/>
          <w:szCs w:val="18"/>
        </w:rPr>
      </w:pPr>
      <w:r>
        <w:rPr>
          <w:rStyle w:val="Normal1"/>
          <w:rFonts w:eastAsia="ヒラギノ明朝Pro W3"/>
          <w:sz w:val="18"/>
          <w:szCs w:val="18"/>
        </w:rPr>
        <w:t xml:space="preserve">2)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Ekli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tarife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ile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belirlenen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asgari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masraf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tutarları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sadece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verilecek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hizmetine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ilişkin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olup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,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verilmesi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için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gereken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ulaşım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masrafları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ile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bu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verilebilmesi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için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zorunlu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olan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bilgi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belgelerin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temininde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resmi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kurumlara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yapılan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harç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benzeri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ödemeler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ile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KDV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diğer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vergiler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gibi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masraflar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tahsil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edilecek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asgari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dâhil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edilemez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,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ayrıca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ödenir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. </w:t>
      </w:r>
      <w:proofErr w:type="spellStart"/>
      <w:proofErr w:type="gram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verilmesine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ilişkin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asgari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dışındaki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her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türlü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masraf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bunların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ödenmesine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ilişkin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hususlar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taraflarca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yapılacak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yazılı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bir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sözleşme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ile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belirlenir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>.</w:t>
      </w:r>
      <w:proofErr w:type="gramEnd"/>
    </w:p>
    <w:p w:rsidR="00DC6289" w:rsidRDefault="00DC6289" w:rsidP="00DC6289">
      <w:pPr>
        <w:pStyle w:val="2-OrtaBaslk"/>
        <w:spacing w:line="240" w:lineRule="exact"/>
        <w:ind w:firstLine="566"/>
        <w:jc w:val="both"/>
        <w:rPr>
          <w:rStyle w:val="Normal1"/>
          <w:rFonts w:eastAsia="ヒラギノ明朝Pro W3"/>
          <w:b w:val="0"/>
          <w:sz w:val="18"/>
          <w:szCs w:val="18"/>
        </w:rPr>
      </w:pPr>
      <w:r>
        <w:rPr>
          <w:rStyle w:val="Normal1"/>
          <w:rFonts w:eastAsia="ヒラギノ明朝Pro W3"/>
          <w:sz w:val="18"/>
          <w:szCs w:val="18"/>
        </w:rPr>
        <w:t xml:space="preserve">3)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Birlik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üyelerinin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verecekleri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hizmetleri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karşılığında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tahsil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edilecek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masraflar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,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verilecek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sonucunda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takdir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edilecek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olan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veya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raporunun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teslim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süresiyle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ilişkilendirilemez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>.</w:t>
      </w:r>
    </w:p>
    <w:p w:rsidR="00DC6289" w:rsidRDefault="00DC6289" w:rsidP="00DC6289">
      <w:pPr>
        <w:pStyle w:val="2-OrtaBaslk"/>
        <w:spacing w:line="240" w:lineRule="exact"/>
        <w:ind w:firstLine="566"/>
        <w:jc w:val="both"/>
        <w:rPr>
          <w:rStyle w:val="Normal1"/>
          <w:rFonts w:eastAsia="ヒラギノ明朝Pro W3"/>
          <w:b w:val="0"/>
          <w:sz w:val="18"/>
          <w:szCs w:val="18"/>
        </w:rPr>
      </w:pPr>
      <w:r>
        <w:rPr>
          <w:rStyle w:val="Normal1"/>
          <w:rFonts w:eastAsia="ヒラギノ明朝Pro W3"/>
          <w:sz w:val="18"/>
          <w:szCs w:val="18"/>
        </w:rPr>
        <w:t xml:space="preserve">4)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Birlik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üyelerince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verilecek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hizmetleri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için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işbu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esaslarla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belirlenen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ücretlerin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ödenmesi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;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hizmetine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konu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varlığın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alım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satımının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gerçekleşmesi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,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bu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varlıkla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ilgili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bir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kredi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alım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işleminin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tamamlanması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dâhil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olmak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üzere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verilmesi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dışında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herhangi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bir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şarta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bağlanamaz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>.</w:t>
      </w:r>
    </w:p>
    <w:p w:rsidR="00DC6289" w:rsidRDefault="00DC6289" w:rsidP="00DC6289">
      <w:pPr>
        <w:pStyle w:val="2-OrtaBaslk"/>
        <w:spacing w:line="240" w:lineRule="exact"/>
        <w:ind w:firstLine="566"/>
        <w:jc w:val="both"/>
        <w:rPr>
          <w:rStyle w:val="Normal1"/>
          <w:rFonts w:eastAsia="ヒラギノ明朝Pro W3"/>
          <w:b w:val="0"/>
          <w:sz w:val="18"/>
          <w:szCs w:val="18"/>
        </w:rPr>
      </w:pPr>
      <w:r>
        <w:rPr>
          <w:rStyle w:val="Normal1"/>
          <w:rFonts w:eastAsia="ヒラギノ明朝Pro W3"/>
          <w:sz w:val="18"/>
          <w:szCs w:val="18"/>
        </w:rPr>
        <w:t>5)</w:t>
      </w:r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Ekli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tarifede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belirtilen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brüt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metre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kare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büyüklüklerinin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belirlenmesinde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Belediye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İmar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Yönetmelikleri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dikkate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alınır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>.</w:t>
      </w:r>
    </w:p>
    <w:p w:rsidR="00DC6289" w:rsidRDefault="00DC6289" w:rsidP="00DC6289">
      <w:pPr>
        <w:pStyle w:val="2-OrtaBaslk"/>
        <w:spacing w:line="240" w:lineRule="exact"/>
        <w:ind w:firstLine="566"/>
        <w:jc w:val="both"/>
        <w:rPr>
          <w:rStyle w:val="Normal1"/>
          <w:rFonts w:eastAsia="ヒラギノ明朝Pro W3"/>
          <w:b w:val="0"/>
          <w:sz w:val="18"/>
          <w:szCs w:val="18"/>
        </w:rPr>
      </w:pPr>
      <w:r>
        <w:rPr>
          <w:rStyle w:val="Normal1"/>
          <w:rFonts w:eastAsia="ヒラギノ明朝Pro W3"/>
          <w:sz w:val="18"/>
          <w:szCs w:val="18"/>
        </w:rPr>
        <w:t xml:space="preserve">6)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Birlik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üyelerinin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,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hizmetini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tümüyle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başka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bir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Birlik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üyesine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devretmeleri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ancak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müşterileriyle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yapacakları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sözleşmesinde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buna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izin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veren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bir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hüküm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bulunması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şartıyla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mümkündür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. Bu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halde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,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ekli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tarifede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belirlenen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asgari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en </w:t>
      </w:r>
      <w:proofErr w:type="spellStart"/>
      <w:proofErr w:type="gramStart"/>
      <w:r>
        <w:rPr>
          <w:rStyle w:val="Normal1"/>
          <w:rFonts w:eastAsia="ヒラギノ明朝Pro W3"/>
          <w:b w:val="0"/>
          <w:sz w:val="18"/>
          <w:szCs w:val="18"/>
        </w:rPr>
        <w:t>az</w:t>
      </w:r>
      <w:proofErr w:type="spellEnd"/>
      <w:proofErr w:type="gramEnd"/>
      <w:r>
        <w:rPr>
          <w:rStyle w:val="Normal1"/>
          <w:rFonts w:eastAsia="ヒラギノ明朝Pro W3"/>
          <w:b w:val="0"/>
          <w:sz w:val="18"/>
          <w:szCs w:val="18"/>
        </w:rPr>
        <w:t xml:space="preserve"> %50’sinin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alınan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diğer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Birlik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üyesine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ödenmesi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şarttır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. </w:t>
      </w:r>
      <w:proofErr w:type="gramStart"/>
      <w:r>
        <w:rPr>
          <w:rStyle w:val="Normal1"/>
          <w:rFonts w:eastAsia="ヒラギノ明朝Pro W3"/>
          <w:b w:val="0"/>
          <w:sz w:val="18"/>
          <w:szCs w:val="18"/>
        </w:rPr>
        <w:t xml:space="preserve">Bu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kapsamda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ödenecek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masraflar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ile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bunların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ödenmesine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ilişkin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esaslar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veren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Birlik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üyesi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ile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devralan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Birlik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üyesi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arasında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yapılacak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yazılı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sözleşmede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önceden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belirlenir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>.</w:t>
      </w:r>
      <w:proofErr w:type="gramEnd"/>
    </w:p>
    <w:p w:rsidR="00DC6289" w:rsidRDefault="00DC6289" w:rsidP="00DC6289">
      <w:pPr>
        <w:pStyle w:val="2-OrtaBaslk"/>
        <w:spacing w:line="240" w:lineRule="exact"/>
        <w:ind w:firstLine="566"/>
        <w:jc w:val="both"/>
        <w:rPr>
          <w:rStyle w:val="Normal1"/>
          <w:rFonts w:eastAsia="ヒラギノ明朝Pro W3"/>
          <w:b w:val="0"/>
          <w:sz w:val="18"/>
          <w:szCs w:val="18"/>
        </w:rPr>
      </w:pPr>
      <w:r>
        <w:rPr>
          <w:rStyle w:val="Normal1"/>
          <w:rFonts w:eastAsia="ヒラギノ明朝Pro W3"/>
          <w:sz w:val="18"/>
          <w:szCs w:val="18"/>
        </w:rPr>
        <w:t xml:space="preserve">7)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Sermaye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Piyasası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Kanunu’nun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57. </w:t>
      </w:r>
      <w:proofErr w:type="spellStart"/>
      <w:proofErr w:type="gramStart"/>
      <w:r>
        <w:rPr>
          <w:rStyle w:val="Normal1"/>
          <w:rFonts w:eastAsia="ヒラギノ明朝Pro W3"/>
          <w:b w:val="0"/>
          <w:sz w:val="18"/>
          <w:szCs w:val="18"/>
        </w:rPr>
        <w:t>maddesinde</w:t>
      </w:r>
      <w:proofErr w:type="spellEnd"/>
      <w:proofErr w:type="gram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belirtilen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konut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varlık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finansmanı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dâhil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olmak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üzere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sermaye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piyasası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mevzuatı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bankacılık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mevzuatı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kapsamında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sunulan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hizmetlerinde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toplu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alımı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,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ihale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veya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benzer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yöntemlerle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işbu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Gayrimenkul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Asgari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Uygulama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Esasları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ekinde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yer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alan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Gayrimenkul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Asgari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Tarifesi’nde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belirlenen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ücretlerde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indirim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uygulanamaz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>.</w:t>
      </w:r>
    </w:p>
    <w:p w:rsidR="00DC6289" w:rsidRDefault="00DC6289" w:rsidP="00DC6289">
      <w:pPr>
        <w:pStyle w:val="2-OrtaBaslk"/>
        <w:spacing w:line="240" w:lineRule="exact"/>
        <w:ind w:firstLine="566"/>
        <w:jc w:val="both"/>
        <w:rPr>
          <w:rStyle w:val="Normal1"/>
          <w:rFonts w:eastAsia="ヒラギノ明朝Pro W3"/>
          <w:b w:val="0"/>
          <w:sz w:val="18"/>
          <w:szCs w:val="18"/>
        </w:rPr>
      </w:pPr>
      <w:r>
        <w:rPr>
          <w:rStyle w:val="Normal1"/>
          <w:rFonts w:eastAsia="ヒラギノ明朝Pro W3"/>
          <w:sz w:val="18"/>
          <w:szCs w:val="18"/>
        </w:rPr>
        <w:t xml:space="preserve">8) </w:t>
      </w:r>
      <w:proofErr w:type="spellStart"/>
      <w:r>
        <w:rPr>
          <w:rStyle w:val="Normal1"/>
          <w:rFonts w:eastAsia="ヒラギノ明朝Pro W3"/>
          <w:b w:val="0"/>
          <w:bCs/>
          <w:sz w:val="18"/>
          <w:szCs w:val="18"/>
        </w:rPr>
        <w:t>D</w:t>
      </w:r>
      <w:r>
        <w:rPr>
          <w:rStyle w:val="Normal1"/>
          <w:rFonts w:eastAsia="ヒラギノ明朝Pro W3"/>
          <w:b w:val="0"/>
          <w:sz w:val="18"/>
          <w:szCs w:val="18"/>
        </w:rPr>
        <w:t>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hizmetlerine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dayanak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olan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yazılı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sözleşmeler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işbu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esaslara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aykırı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olamaz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>.</w:t>
      </w:r>
    </w:p>
    <w:p w:rsidR="00DC6289" w:rsidRDefault="00DC6289" w:rsidP="00DC6289">
      <w:pPr>
        <w:pStyle w:val="2-OrtaBaslk"/>
        <w:spacing w:line="240" w:lineRule="exact"/>
        <w:ind w:firstLine="566"/>
        <w:jc w:val="both"/>
        <w:rPr>
          <w:rStyle w:val="Normal1"/>
          <w:rFonts w:eastAsia="ヒラギノ明朝Pro W3"/>
          <w:b w:val="0"/>
          <w:sz w:val="18"/>
          <w:szCs w:val="18"/>
        </w:rPr>
      </w:pPr>
      <w:r>
        <w:rPr>
          <w:rStyle w:val="Normal1"/>
          <w:rFonts w:eastAsia="ヒラギノ明朝Pro W3"/>
          <w:sz w:val="18"/>
          <w:szCs w:val="18"/>
        </w:rPr>
        <w:t>9)</w:t>
      </w:r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İşbu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esasların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uygulanmasında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ortaya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çıkabilecek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tereddütleri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gidermeye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Sermaye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Piyasası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Kurulu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yetkilidir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>.</w:t>
      </w:r>
    </w:p>
    <w:p w:rsidR="00DC6289" w:rsidRDefault="00DC6289" w:rsidP="00DC6289">
      <w:pPr>
        <w:pStyle w:val="2-OrtaBaslk"/>
        <w:spacing w:line="240" w:lineRule="exact"/>
        <w:ind w:firstLine="566"/>
        <w:jc w:val="both"/>
        <w:rPr>
          <w:rStyle w:val="Normal1"/>
          <w:rFonts w:eastAsia="ヒラギノ明朝Pro W3"/>
          <w:b w:val="0"/>
          <w:sz w:val="18"/>
          <w:szCs w:val="18"/>
        </w:rPr>
      </w:pPr>
      <w:r>
        <w:rPr>
          <w:rStyle w:val="Normal1"/>
          <w:rFonts w:eastAsia="ヒラギノ明朝Pro W3"/>
          <w:sz w:val="18"/>
          <w:szCs w:val="18"/>
        </w:rPr>
        <w:t xml:space="preserve">10)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İşbu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Gayrimenkul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Asgari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Uygulama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Esasları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eki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Gayrimenkul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Asgari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Tarifesi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,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Resmî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Gazete’de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yayımlanarak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yürürlüğe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girdiği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tarihte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yürürlükte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olan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>/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geçerli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olan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tüm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sözleşmelerine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uygulanır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. Bu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tarihten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önce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akdedilmiş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olup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yürürlükte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olan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hizmeti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sözleşmelerinin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,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işbu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Gayrimenkul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Asgari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Uygulama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Esasları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eki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Gayrimenkul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Değerleme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Asgari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Ücret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Tarifesi’ne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aykırı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hükümler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ihtiva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etmesi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halinde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,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işbu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esaslardaki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ve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ekli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tarifedeki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hükümler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 xml:space="preserve"> </w:t>
      </w:r>
      <w:proofErr w:type="spellStart"/>
      <w:r>
        <w:rPr>
          <w:rStyle w:val="Normal1"/>
          <w:rFonts w:eastAsia="ヒラギノ明朝Pro W3"/>
          <w:b w:val="0"/>
          <w:sz w:val="18"/>
          <w:szCs w:val="18"/>
        </w:rPr>
        <w:t>uygulanır</w:t>
      </w:r>
      <w:proofErr w:type="spellEnd"/>
      <w:r>
        <w:rPr>
          <w:rStyle w:val="Normal1"/>
          <w:rFonts w:eastAsia="ヒラギノ明朝Pro W3"/>
          <w:b w:val="0"/>
          <w:sz w:val="18"/>
          <w:szCs w:val="18"/>
        </w:rPr>
        <w:t>.</w:t>
      </w:r>
    </w:p>
    <w:p w:rsidR="00DC6289" w:rsidRDefault="00DC6289" w:rsidP="00DC6289">
      <w:pPr>
        <w:pStyle w:val="2-OrtaBaslk"/>
        <w:spacing w:line="240" w:lineRule="exact"/>
        <w:rPr>
          <w:rStyle w:val="Normal1"/>
          <w:rFonts w:eastAsia="ヒラギノ明朝Pro W3"/>
          <w:b w:val="0"/>
          <w:sz w:val="18"/>
          <w:szCs w:val="18"/>
        </w:rPr>
      </w:pPr>
    </w:p>
    <w:p w:rsidR="00DC6289" w:rsidRDefault="00DC6289" w:rsidP="00DC6289">
      <w:pPr>
        <w:pStyle w:val="2-OrtaBaslk"/>
        <w:spacing w:line="240" w:lineRule="exact"/>
        <w:rPr>
          <w:rStyle w:val="Normal1"/>
          <w:rFonts w:eastAsia="ヒラギノ明朝Pro W3"/>
          <w:b w:val="0"/>
          <w:sz w:val="18"/>
          <w:szCs w:val="18"/>
        </w:rPr>
      </w:pPr>
    </w:p>
    <w:p w:rsidR="00DC6289" w:rsidRDefault="00DC6289" w:rsidP="00DC6289">
      <w:pPr>
        <w:pStyle w:val="2-OrtaBaslk"/>
        <w:spacing w:line="240" w:lineRule="exact"/>
        <w:jc w:val="left"/>
        <w:rPr>
          <w:rStyle w:val="Normal1"/>
          <w:rFonts w:eastAsia="ヒラギノ明朝Pro W3"/>
          <w:bCs/>
          <w:sz w:val="18"/>
          <w:szCs w:val="18"/>
        </w:rPr>
      </w:pPr>
      <w:hyperlink r:id="rId4" w:history="1">
        <w:r>
          <w:rPr>
            <w:rStyle w:val="Kpr"/>
            <w:rFonts w:eastAsia="ヒラギノ明朝Pro W3" w:hAnsi="Times New Roman"/>
            <w:bCs/>
            <w:sz w:val="18"/>
            <w:szCs w:val="18"/>
            <w:u w:val="none"/>
          </w:rPr>
          <w:t>Eki için tıklayınız.</w:t>
        </w:r>
      </w:hyperlink>
    </w:p>
    <w:p w:rsidR="00DC6289" w:rsidRDefault="00DC6289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DC628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212A"/>
    <w:rsid w:val="00120BB8"/>
    <w:rsid w:val="00121400"/>
    <w:rsid w:val="00133559"/>
    <w:rsid w:val="0015439C"/>
    <w:rsid w:val="00171DF7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317A78"/>
    <w:rsid w:val="00337C5F"/>
    <w:rsid w:val="00364757"/>
    <w:rsid w:val="0037350C"/>
    <w:rsid w:val="00376744"/>
    <w:rsid w:val="00383077"/>
    <w:rsid w:val="003C0347"/>
    <w:rsid w:val="003E11C0"/>
    <w:rsid w:val="003E7F80"/>
    <w:rsid w:val="003F1FF2"/>
    <w:rsid w:val="00401901"/>
    <w:rsid w:val="00421AF3"/>
    <w:rsid w:val="00432B0B"/>
    <w:rsid w:val="00436ABA"/>
    <w:rsid w:val="004455DE"/>
    <w:rsid w:val="004516C8"/>
    <w:rsid w:val="00476187"/>
    <w:rsid w:val="004814E7"/>
    <w:rsid w:val="0049683C"/>
    <w:rsid w:val="004D6CD7"/>
    <w:rsid w:val="004E1C0B"/>
    <w:rsid w:val="00510570"/>
    <w:rsid w:val="00537F0B"/>
    <w:rsid w:val="005537FA"/>
    <w:rsid w:val="005603EC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E51B7"/>
    <w:rsid w:val="007E7E70"/>
    <w:rsid w:val="007F4DB8"/>
    <w:rsid w:val="00806D76"/>
    <w:rsid w:val="0082071C"/>
    <w:rsid w:val="008426CE"/>
    <w:rsid w:val="008661A5"/>
    <w:rsid w:val="00880D43"/>
    <w:rsid w:val="008C5F26"/>
    <w:rsid w:val="008C7794"/>
    <w:rsid w:val="008D1728"/>
    <w:rsid w:val="008E6F06"/>
    <w:rsid w:val="008F7815"/>
    <w:rsid w:val="00907F78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67A94"/>
    <w:rsid w:val="00F70667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3/03/20130309-27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622</Words>
  <Characters>3547</Characters>
  <Application>Microsoft Office Word</Application>
  <DocSecurity>0</DocSecurity>
  <Lines>29</Lines>
  <Paragraphs>8</Paragraphs>
  <ScaleCrop>false</ScaleCrop>
  <Company>TURMOB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162</cp:revision>
  <cp:lastPrinted>2013-01-07T06:33:00Z</cp:lastPrinted>
  <dcterms:created xsi:type="dcterms:W3CDTF">2013-01-02T06:53:00Z</dcterms:created>
  <dcterms:modified xsi:type="dcterms:W3CDTF">2013-03-11T06:35:00Z</dcterms:modified>
</cp:coreProperties>
</file>