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4B52F5"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27</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28600</w:t>
      </w:r>
      <w:proofErr w:type="gramEnd"/>
    </w:p>
    <w:p w:rsidR="00BF3772" w:rsidRDefault="00BF3772" w:rsidP="00681E0A">
      <w:pPr>
        <w:spacing w:after="0" w:line="280" w:lineRule="atLeast"/>
        <w:rPr>
          <w:rFonts w:ascii="Times New Roman" w:hAnsi="Times New Roman" w:cs="Times New Roman"/>
          <w:b/>
          <w:sz w:val="20"/>
          <w:szCs w:val="20"/>
          <w:u w:val="single"/>
        </w:rPr>
      </w:pPr>
    </w:p>
    <w:p w:rsidR="00B3471A" w:rsidRDefault="00B3471A" w:rsidP="00B3471A">
      <w:pPr>
        <w:pStyle w:val="1-Baslk"/>
        <w:spacing w:line="240" w:lineRule="exact"/>
        <w:ind w:firstLine="566"/>
        <w:rPr>
          <w:rFonts w:hAnsi="Times New Roman"/>
          <w:sz w:val="18"/>
          <w:szCs w:val="18"/>
        </w:rPr>
      </w:pPr>
      <w:r>
        <w:rPr>
          <w:rFonts w:hAnsi="Times New Roman"/>
          <w:sz w:val="18"/>
          <w:szCs w:val="18"/>
        </w:rPr>
        <w:t>Maliye Bakanlığından:</w:t>
      </w:r>
    </w:p>
    <w:p w:rsidR="00B3471A" w:rsidRDefault="00B3471A" w:rsidP="00B3471A">
      <w:pPr>
        <w:pStyle w:val="2-OrtaBaslk"/>
        <w:spacing w:line="240" w:lineRule="exact"/>
        <w:rPr>
          <w:rFonts w:hAnsi="Times New Roman"/>
          <w:caps/>
          <w:sz w:val="18"/>
          <w:szCs w:val="18"/>
        </w:rPr>
      </w:pPr>
      <w:r>
        <w:rPr>
          <w:rFonts w:hAnsi="Times New Roman"/>
          <w:caps/>
          <w:sz w:val="18"/>
          <w:szCs w:val="18"/>
        </w:rPr>
        <w:t>Vergi Usul Kanunu Genel Tebliği</w:t>
      </w:r>
    </w:p>
    <w:p w:rsidR="00B3471A" w:rsidRDefault="00B3471A" w:rsidP="00B3471A">
      <w:pPr>
        <w:pStyle w:val="2-OrtaBaslk"/>
        <w:spacing w:line="240" w:lineRule="exact"/>
        <w:rPr>
          <w:rFonts w:hAnsi="Times New Roman"/>
          <w:sz w:val="18"/>
          <w:szCs w:val="18"/>
        </w:rPr>
      </w:pPr>
      <w:r>
        <w:rPr>
          <w:rFonts w:hAnsi="Times New Roman"/>
          <w:caps/>
          <w:sz w:val="18"/>
          <w:szCs w:val="18"/>
        </w:rPr>
        <w:t>(Sıra No: 425)</w:t>
      </w:r>
    </w:p>
    <w:p w:rsidR="00B3471A" w:rsidRDefault="00B3471A" w:rsidP="00B3471A">
      <w:pPr>
        <w:pStyle w:val="3-NormalYaz"/>
        <w:spacing w:line="240" w:lineRule="exact"/>
        <w:ind w:firstLine="566"/>
        <w:rPr>
          <w:rFonts w:hAnsi="Times New Roman"/>
          <w:b/>
          <w:sz w:val="18"/>
          <w:szCs w:val="18"/>
        </w:rPr>
      </w:pPr>
      <w:r>
        <w:rPr>
          <w:rFonts w:hAnsi="Times New Roman"/>
          <w:b/>
          <w:sz w:val="18"/>
          <w:szCs w:val="18"/>
        </w:rPr>
        <w:t>1. Giriş</w:t>
      </w:r>
    </w:p>
    <w:p w:rsidR="00B3471A" w:rsidRDefault="00B3471A" w:rsidP="00B3471A">
      <w:pPr>
        <w:pStyle w:val="3-NormalYaz"/>
        <w:spacing w:line="240" w:lineRule="exact"/>
        <w:ind w:firstLine="566"/>
        <w:rPr>
          <w:rFonts w:hAnsi="Times New Roman"/>
          <w:sz w:val="18"/>
          <w:szCs w:val="18"/>
        </w:rPr>
      </w:pPr>
      <w:proofErr w:type="gramStart"/>
      <w:r>
        <w:rPr>
          <w:rFonts w:hAnsi="Times New Roman"/>
          <w:sz w:val="18"/>
          <w:szCs w:val="18"/>
        </w:rPr>
        <w:t>4/1/1961</w:t>
      </w:r>
      <w:proofErr w:type="gramEnd"/>
      <w:r>
        <w:rPr>
          <w:rFonts w:hAnsi="Times New Roman"/>
          <w:sz w:val="18"/>
          <w:szCs w:val="18"/>
        </w:rPr>
        <w:t xml:space="preserve"> tarihli ve 213 sayılı Vergi Usul Kanununun 140 </w:t>
      </w:r>
      <w:proofErr w:type="spellStart"/>
      <w:r>
        <w:rPr>
          <w:rFonts w:hAnsi="Times New Roman"/>
          <w:sz w:val="18"/>
          <w:szCs w:val="18"/>
        </w:rPr>
        <w:t>ıncı</w:t>
      </w:r>
      <w:proofErr w:type="spellEnd"/>
      <w:r>
        <w:rPr>
          <w:rFonts w:hAnsi="Times New Roman"/>
          <w:sz w:val="18"/>
          <w:szCs w:val="18"/>
        </w:rPr>
        <w:t xml:space="preserve"> maddesi ile ilgili açıklamalar işbu Tebliğin konusunu teşkil etmektedir.</w:t>
      </w:r>
    </w:p>
    <w:p w:rsidR="00B3471A" w:rsidRDefault="00B3471A" w:rsidP="00B3471A">
      <w:pPr>
        <w:pStyle w:val="3-NormalYaz"/>
        <w:spacing w:line="240" w:lineRule="exact"/>
        <w:ind w:firstLine="566"/>
        <w:rPr>
          <w:rFonts w:hAnsi="Times New Roman"/>
          <w:b/>
          <w:sz w:val="18"/>
          <w:szCs w:val="18"/>
        </w:rPr>
      </w:pPr>
      <w:r>
        <w:rPr>
          <w:rFonts w:hAnsi="Times New Roman"/>
          <w:b/>
          <w:sz w:val="18"/>
          <w:szCs w:val="18"/>
        </w:rPr>
        <w:t>2. Kanuni Dayanak</w:t>
      </w:r>
    </w:p>
    <w:p w:rsidR="00B3471A" w:rsidRDefault="00B3471A" w:rsidP="00B3471A">
      <w:pPr>
        <w:pStyle w:val="3-NormalYaz"/>
        <w:spacing w:line="240" w:lineRule="exact"/>
        <w:ind w:firstLine="566"/>
        <w:rPr>
          <w:rFonts w:hAnsi="Times New Roman"/>
          <w:sz w:val="18"/>
          <w:szCs w:val="18"/>
        </w:rPr>
      </w:pPr>
      <w:r>
        <w:rPr>
          <w:rFonts w:hAnsi="Times New Roman"/>
          <w:sz w:val="18"/>
          <w:szCs w:val="18"/>
        </w:rPr>
        <w:t xml:space="preserve">Vergi Usul Kanununun 134 üncü maddesinde vergi incelemesinden maksadın, ödenmesi gereken vergilerin doğruluğunu araştırmak, tespit etmek ve sağlamak olduğu hüküm altına alınmış ve mezkûr Kanunun müteakip maddelerinde vergi incelemesine müteallik hükümlere yer verilmiştir. </w:t>
      </w:r>
      <w:proofErr w:type="gramStart"/>
      <w:r>
        <w:rPr>
          <w:rFonts w:hAnsi="Times New Roman"/>
          <w:sz w:val="18"/>
          <w:szCs w:val="18"/>
        </w:rPr>
        <w:t xml:space="preserve">Bunlardan “incelemede uyulacak esaslar” başlıklı 140 </w:t>
      </w:r>
      <w:proofErr w:type="spellStart"/>
      <w:r>
        <w:rPr>
          <w:rFonts w:hAnsi="Times New Roman"/>
          <w:sz w:val="18"/>
          <w:szCs w:val="18"/>
        </w:rPr>
        <w:t>ıncı</w:t>
      </w:r>
      <w:proofErr w:type="spellEnd"/>
      <w:r>
        <w:rPr>
          <w:rFonts w:hAnsi="Times New Roman"/>
          <w:sz w:val="18"/>
          <w:szCs w:val="18"/>
        </w:rPr>
        <w:t xml:space="preserve"> maddenin 5 numaralı bendinde vergi incelemesi yapanların vergi kanunları ile ilgili kararname, tüzük, yönetmelik, genel tebliğ ve sirkülere aykırı vergi inceleme raporu düzenleyemeyecekleri, ancak, bu düzenlemelerin vergi kanunlarına aykırı olduğu kanaatine varırlarsa bu hususu bağlı oldukları birimler aracılığıyla Gelir İdaresi Başkanlığına düzenleyecekleri bir rapor ile bildirecekleri hüküm altına alınmıştır.</w:t>
      </w:r>
      <w:proofErr w:type="gramEnd"/>
    </w:p>
    <w:p w:rsidR="00B3471A" w:rsidRDefault="00B3471A" w:rsidP="00B3471A">
      <w:pPr>
        <w:pStyle w:val="3-NormalYaz"/>
        <w:spacing w:line="240" w:lineRule="exact"/>
        <w:ind w:firstLine="566"/>
        <w:rPr>
          <w:rFonts w:hAnsi="Times New Roman"/>
          <w:sz w:val="18"/>
          <w:szCs w:val="18"/>
        </w:rPr>
      </w:pPr>
      <w:proofErr w:type="gramStart"/>
      <w:r>
        <w:rPr>
          <w:rFonts w:hAnsi="Times New Roman"/>
          <w:sz w:val="18"/>
          <w:szCs w:val="18"/>
        </w:rPr>
        <w:t xml:space="preserve">Diğer taraftan, mezkûr maddenin ikinci fıkrasında “Vergi Müfettişleri ile Vergi Müfettiş Yardımcıları tarafından düzenlenen vergi inceleme raporları, işleme konulmak üzere ilgili vergi dairesine tevdi edilmeden önce, meslekte on yılını tamamlamış en az üç Vergi Müfettişinden oluşturulacak rapor değerlendirme komisyonları tarafından vergi kanunları ile bunlara ilişkin kararname, tüzük, yönetmelik, genel tebliğ, sirküler ve </w:t>
      </w:r>
      <w:proofErr w:type="spellStart"/>
      <w:r>
        <w:rPr>
          <w:rFonts w:hAnsi="Times New Roman"/>
          <w:sz w:val="18"/>
          <w:szCs w:val="18"/>
        </w:rPr>
        <w:t>özelgelere</w:t>
      </w:r>
      <w:proofErr w:type="spellEnd"/>
      <w:r>
        <w:rPr>
          <w:rFonts w:hAnsi="Times New Roman"/>
          <w:sz w:val="18"/>
          <w:szCs w:val="18"/>
        </w:rPr>
        <w:t xml:space="preserve"> uygunluğu yönünden değerlendirilir. İncelemeyi yapanla komisyon arasında uyuşmazlık oluşması halinde uyuşmazlığa konu vergi inceleme raporları üst değerlendirme mercii olarak, Maliye Bakanlığınca belirlenen tutarları aşan tarhiyat önerisi içeren vergi inceleme raporları ise doğrudan, Vergi Denetim Kurulu Başkanlığı bünyesinde bir Başkan Yardımcısının başkanlığında dört grup başkanından oluşan beş kişilik merkezi rapor değerlendirme komisyonu tarafından vergi kanunları ile bunlara ilişkin kararname, tüzük, yönetmelik, genel tebliğ, sirküler ve </w:t>
      </w:r>
      <w:proofErr w:type="spellStart"/>
      <w:r>
        <w:rPr>
          <w:rFonts w:hAnsi="Times New Roman"/>
          <w:sz w:val="18"/>
          <w:szCs w:val="18"/>
        </w:rPr>
        <w:t>özelgelere</w:t>
      </w:r>
      <w:proofErr w:type="spellEnd"/>
      <w:r>
        <w:rPr>
          <w:rFonts w:hAnsi="Times New Roman"/>
          <w:sz w:val="18"/>
          <w:szCs w:val="18"/>
        </w:rPr>
        <w:t xml:space="preserve"> uygunluğu yönünden değerlendirilir. İncelemeyi yapanlar, bu komisyon tarafından yapılacak değerlendirmeye uygun olarak düzenleyecekleri vergi inceleme raporlarını işleme konulmak üzere bağlı oldukları birime tevdi ederler.” hükmü, dördüncü fıkrasında ise “Merkezi Rapor Değerlendirme Komisyonu ile diğer rapor değerlendirme komisyonları yaptıkları değerlendirme sırasında, verilmiş bir </w:t>
      </w:r>
      <w:proofErr w:type="spellStart"/>
      <w:r>
        <w:rPr>
          <w:rFonts w:hAnsi="Times New Roman"/>
          <w:sz w:val="18"/>
          <w:szCs w:val="18"/>
        </w:rPr>
        <w:t>özelgenin</w:t>
      </w:r>
      <w:proofErr w:type="spellEnd"/>
      <w:r>
        <w:rPr>
          <w:rFonts w:hAnsi="Times New Roman"/>
          <w:sz w:val="18"/>
          <w:szCs w:val="18"/>
        </w:rPr>
        <w:t xml:space="preserve"> 369 uncu maddenin birinci fıkrası kapsamında olduğu kanaatine varmaları halinde, söz konusu </w:t>
      </w:r>
      <w:proofErr w:type="spellStart"/>
      <w:r>
        <w:rPr>
          <w:rFonts w:hAnsi="Times New Roman"/>
          <w:sz w:val="18"/>
          <w:szCs w:val="18"/>
        </w:rPr>
        <w:t>özelge</w:t>
      </w:r>
      <w:proofErr w:type="spellEnd"/>
      <w:r>
        <w:rPr>
          <w:rFonts w:hAnsi="Times New Roman"/>
          <w:sz w:val="18"/>
          <w:szCs w:val="18"/>
        </w:rPr>
        <w:t xml:space="preserve">, Merkezi Rapor Değerlendirme Komisyonundan üç üye ile 413 üncü maddeye göre oluşturulan komisyondan iki üyenin katılımıyla oluşturulacak beş kişilik bir komisyon tarafından değerlendirilir. </w:t>
      </w:r>
      <w:proofErr w:type="gramEnd"/>
      <w:r>
        <w:rPr>
          <w:rFonts w:hAnsi="Times New Roman"/>
          <w:sz w:val="18"/>
          <w:szCs w:val="18"/>
        </w:rPr>
        <w:t>Bu komisyonca verilen kararlar, ilgili rapor değerlendirme komisyonu ile incelemeye yetkili olanı bağlar.” hükmü yer almaktadır.</w:t>
      </w:r>
    </w:p>
    <w:p w:rsidR="00B3471A" w:rsidRDefault="00B3471A" w:rsidP="00B3471A">
      <w:pPr>
        <w:pStyle w:val="3-NormalYaz"/>
        <w:spacing w:line="240" w:lineRule="exact"/>
        <w:ind w:firstLine="566"/>
        <w:rPr>
          <w:rFonts w:hAnsi="Times New Roman"/>
          <w:b/>
          <w:sz w:val="18"/>
          <w:szCs w:val="18"/>
        </w:rPr>
      </w:pPr>
      <w:r>
        <w:rPr>
          <w:rFonts w:hAnsi="Times New Roman"/>
          <w:b/>
          <w:sz w:val="18"/>
          <w:szCs w:val="18"/>
        </w:rPr>
        <w:t>3. Değerlendirme ve Sonuç</w:t>
      </w:r>
    </w:p>
    <w:p w:rsidR="00B3471A" w:rsidRDefault="00B3471A" w:rsidP="00B3471A">
      <w:pPr>
        <w:pStyle w:val="3-NormalYaz"/>
        <w:spacing w:line="240" w:lineRule="exact"/>
        <w:ind w:firstLine="566"/>
        <w:rPr>
          <w:rFonts w:hAnsi="Times New Roman"/>
          <w:sz w:val="18"/>
          <w:szCs w:val="18"/>
        </w:rPr>
      </w:pPr>
      <w:r>
        <w:rPr>
          <w:rFonts w:hAnsi="Times New Roman"/>
          <w:sz w:val="18"/>
          <w:szCs w:val="18"/>
        </w:rPr>
        <w:t xml:space="preserve">Yukarıda yer verilen hükümlerden de anlaşılacağı üzere, vergi incelemesi yapmaya yetkili olanlar inceleme neticesinde tanzim edecekleri raporlarda vergi kanunlarıyla ilgili kararname, tüzük, yönetmelik, genel tebliğ ve sirkülere aykırı hususlara yer veremeyecekler, dolayısıyla da bu düzenlemelere aykırı olarak tarhiyat öneremeyeceklerdir. Ancak, bu raporların intikal ettirildiği Merkezi Rapor Değerlendirme Komisyonu ile diğer rapor değerlendirme komisyonları, raporları değerlendirirken yukarıda zikredilen mevzuata ilave olarak Gelir İdaresi Başkanlığınca verilmiş olan </w:t>
      </w:r>
      <w:proofErr w:type="spellStart"/>
      <w:r>
        <w:rPr>
          <w:rFonts w:hAnsi="Times New Roman"/>
          <w:sz w:val="18"/>
          <w:szCs w:val="18"/>
        </w:rPr>
        <w:t>özelgelere</w:t>
      </w:r>
      <w:proofErr w:type="spellEnd"/>
      <w:r>
        <w:rPr>
          <w:rFonts w:hAnsi="Times New Roman"/>
          <w:sz w:val="18"/>
          <w:szCs w:val="18"/>
        </w:rPr>
        <w:t xml:space="preserve"> uygunluk kıstasını da tatbik edeceklerdir.</w:t>
      </w:r>
    </w:p>
    <w:p w:rsidR="00B3471A" w:rsidRDefault="00B3471A" w:rsidP="00B3471A">
      <w:pPr>
        <w:pStyle w:val="3-NormalYaz"/>
        <w:spacing w:line="240" w:lineRule="exact"/>
        <w:ind w:firstLine="566"/>
        <w:rPr>
          <w:rFonts w:hAnsi="Times New Roman"/>
          <w:sz w:val="18"/>
          <w:szCs w:val="18"/>
        </w:rPr>
      </w:pPr>
      <w:r>
        <w:rPr>
          <w:rFonts w:hAnsi="Times New Roman"/>
          <w:sz w:val="18"/>
          <w:szCs w:val="18"/>
        </w:rPr>
        <w:t xml:space="preserve">Rapor değerlendirme komisyonları raporları </w:t>
      </w:r>
      <w:proofErr w:type="spellStart"/>
      <w:r>
        <w:rPr>
          <w:rFonts w:hAnsi="Times New Roman"/>
          <w:sz w:val="18"/>
          <w:szCs w:val="18"/>
        </w:rPr>
        <w:t>özelgelere</w:t>
      </w:r>
      <w:proofErr w:type="spellEnd"/>
      <w:r>
        <w:rPr>
          <w:rFonts w:hAnsi="Times New Roman"/>
          <w:sz w:val="18"/>
          <w:szCs w:val="18"/>
        </w:rPr>
        <w:t xml:space="preserve"> uygunluk yönünden değerlendirirken eleştiri konusu yapılan hususla ilgili olan ve Gelir İdaresi Başkanlığınca verilmiş </w:t>
      </w:r>
      <w:proofErr w:type="spellStart"/>
      <w:r>
        <w:rPr>
          <w:rFonts w:hAnsi="Times New Roman"/>
          <w:sz w:val="18"/>
          <w:szCs w:val="18"/>
        </w:rPr>
        <w:t>özelgeleri</w:t>
      </w:r>
      <w:proofErr w:type="spellEnd"/>
      <w:r>
        <w:rPr>
          <w:rFonts w:hAnsi="Times New Roman"/>
          <w:sz w:val="18"/>
          <w:szCs w:val="18"/>
        </w:rPr>
        <w:t xml:space="preserve"> dikkate alacak ve varsa adına rapor düzenlenen mükellefe verilmiş </w:t>
      </w:r>
      <w:proofErr w:type="spellStart"/>
      <w:r>
        <w:rPr>
          <w:rFonts w:hAnsi="Times New Roman"/>
          <w:sz w:val="18"/>
          <w:szCs w:val="18"/>
        </w:rPr>
        <w:t>özelge</w:t>
      </w:r>
      <w:proofErr w:type="spellEnd"/>
      <w:r>
        <w:rPr>
          <w:rFonts w:hAnsi="Times New Roman"/>
          <w:sz w:val="18"/>
          <w:szCs w:val="18"/>
        </w:rPr>
        <w:t xml:space="preserve"> ile sınırlı kalmayacaktır. Raporda, </w:t>
      </w:r>
      <w:proofErr w:type="spellStart"/>
      <w:r>
        <w:rPr>
          <w:rFonts w:hAnsi="Times New Roman"/>
          <w:sz w:val="18"/>
          <w:szCs w:val="18"/>
        </w:rPr>
        <w:t>özelgede</w:t>
      </w:r>
      <w:proofErr w:type="spellEnd"/>
      <w:r>
        <w:rPr>
          <w:rFonts w:hAnsi="Times New Roman"/>
          <w:sz w:val="18"/>
          <w:szCs w:val="18"/>
        </w:rPr>
        <w:t xml:space="preserve"> yer alan görüş aksine bir tenkit varsa rapor olumsuz değerlendirmeye konu edilecek ve </w:t>
      </w:r>
      <w:proofErr w:type="gramStart"/>
      <w:r>
        <w:rPr>
          <w:rFonts w:hAnsi="Times New Roman"/>
          <w:sz w:val="18"/>
          <w:szCs w:val="18"/>
        </w:rPr>
        <w:t>31/10/2011</w:t>
      </w:r>
      <w:proofErr w:type="gramEnd"/>
      <w:r>
        <w:rPr>
          <w:rFonts w:hAnsi="Times New Roman"/>
          <w:sz w:val="18"/>
          <w:szCs w:val="18"/>
        </w:rPr>
        <w:t xml:space="preserve"> tarihli ve 28101 sayılı Resmî Gazete’de yayımlanan Rapor Değerlendirme Komisyonlarının Oluşturulması ile Çalışma Usul ve Esasları Hakkında </w:t>
      </w:r>
      <w:proofErr w:type="spellStart"/>
      <w:r>
        <w:rPr>
          <w:rFonts w:hAnsi="Times New Roman"/>
          <w:sz w:val="18"/>
          <w:szCs w:val="18"/>
        </w:rPr>
        <w:t>Yönetmelik’in</w:t>
      </w:r>
      <w:proofErr w:type="spellEnd"/>
      <w:r>
        <w:rPr>
          <w:rFonts w:hAnsi="Times New Roman"/>
          <w:sz w:val="18"/>
          <w:szCs w:val="18"/>
        </w:rPr>
        <w:t xml:space="preserve"> ilgili hükümlerine göre işlem yapılacaktır. Olumsuz değerlendirmenin yapılabilmesi için </w:t>
      </w:r>
      <w:proofErr w:type="spellStart"/>
      <w:r>
        <w:rPr>
          <w:rFonts w:hAnsi="Times New Roman"/>
          <w:sz w:val="18"/>
          <w:szCs w:val="18"/>
        </w:rPr>
        <w:t>özelgede</w:t>
      </w:r>
      <w:proofErr w:type="spellEnd"/>
      <w:r>
        <w:rPr>
          <w:rFonts w:hAnsi="Times New Roman"/>
          <w:sz w:val="18"/>
          <w:szCs w:val="18"/>
        </w:rPr>
        <w:t xml:space="preserve"> yer alan görüşün tam olarak raporda </w:t>
      </w:r>
      <w:proofErr w:type="spellStart"/>
      <w:r>
        <w:rPr>
          <w:rFonts w:hAnsi="Times New Roman"/>
          <w:sz w:val="18"/>
          <w:szCs w:val="18"/>
        </w:rPr>
        <w:t>tenkid</w:t>
      </w:r>
      <w:proofErr w:type="spellEnd"/>
      <w:r>
        <w:rPr>
          <w:rFonts w:hAnsi="Times New Roman"/>
          <w:sz w:val="18"/>
          <w:szCs w:val="18"/>
        </w:rPr>
        <w:t xml:space="preserve"> edilen konuyla ilgili olması diğer bir ifadeyle verilen izahatın aynı durumda olan tüm mükellefler bakımından uygulanabilir olması gereklidir. Ayrıca, rapor değerlendirme komisyonunun dikkate alacağı </w:t>
      </w:r>
      <w:proofErr w:type="spellStart"/>
      <w:r>
        <w:rPr>
          <w:rFonts w:hAnsi="Times New Roman"/>
          <w:sz w:val="18"/>
          <w:szCs w:val="18"/>
        </w:rPr>
        <w:t>özelgenin</w:t>
      </w:r>
      <w:proofErr w:type="spellEnd"/>
      <w:r>
        <w:rPr>
          <w:rFonts w:hAnsi="Times New Roman"/>
          <w:sz w:val="18"/>
          <w:szCs w:val="18"/>
        </w:rPr>
        <w:t xml:space="preserve"> ilgili konuda Gelir İdaresi Başkanlığınca verilmiş en güncel </w:t>
      </w:r>
      <w:proofErr w:type="spellStart"/>
      <w:r>
        <w:rPr>
          <w:rFonts w:hAnsi="Times New Roman"/>
          <w:sz w:val="18"/>
          <w:szCs w:val="18"/>
        </w:rPr>
        <w:t>özelge</w:t>
      </w:r>
      <w:proofErr w:type="spellEnd"/>
      <w:r>
        <w:rPr>
          <w:rFonts w:hAnsi="Times New Roman"/>
          <w:sz w:val="18"/>
          <w:szCs w:val="18"/>
        </w:rPr>
        <w:t xml:space="preserve"> olması gerektiği tabiidir.</w:t>
      </w:r>
    </w:p>
    <w:p w:rsidR="00B3471A" w:rsidRDefault="00B3471A" w:rsidP="00B3471A">
      <w:pPr>
        <w:pStyle w:val="3-NormalYaz"/>
        <w:spacing w:line="240" w:lineRule="exact"/>
        <w:ind w:firstLine="566"/>
        <w:rPr>
          <w:rFonts w:hAnsi="Times New Roman"/>
          <w:sz w:val="18"/>
          <w:szCs w:val="18"/>
        </w:rPr>
      </w:pPr>
      <w:r>
        <w:rPr>
          <w:rFonts w:hAnsi="Times New Roman"/>
          <w:sz w:val="18"/>
          <w:szCs w:val="18"/>
        </w:rPr>
        <w:t xml:space="preserve">Diğer taraftan rapor değerlendirme komisyonlarının bir </w:t>
      </w:r>
      <w:proofErr w:type="spellStart"/>
      <w:r>
        <w:rPr>
          <w:rFonts w:hAnsi="Times New Roman"/>
          <w:sz w:val="18"/>
          <w:szCs w:val="18"/>
        </w:rPr>
        <w:t>özelgenin</w:t>
      </w:r>
      <w:proofErr w:type="spellEnd"/>
      <w:r>
        <w:rPr>
          <w:rFonts w:hAnsi="Times New Roman"/>
          <w:sz w:val="18"/>
          <w:szCs w:val="18"/>
        </w:rPr>
        <w:t xml:space="preserve"> 369 uncu maddenin birinci fıkrası kapsamında olduğu kanaatine varmaları hâlinde </w:t>
      </w:r>
      <w:proofErr w:type="spellStart"/>
      <w:r>
        <w:rPr>
          <w:rFonts w:hAnsi="Times New Roman"/>
          <w:sz w:val="18"/>
          <w:szCs w:val="18"/>
        </w:rPr>
        <w:t>özelgenin</w:t>
      </w:r>
      <w:proofErr w:type="spellEnd"/>
      <w:r>
        <w:rPr>
          <w:rFonts w:hAnsi="Times New Roman"/>
          <w:sz w:val="18"/>
          <w:szCs w:val="18"/>
        </w:rPr>
        <w:t xml:space="preserve"> değerlendirilmesi amacıyla 140 </w:t>
      </w:r>
      <w:proofErr w:type="spellStart"/>
      <w:r>
        <w:rPr>
          <w:rFonts w:hAnsi="Times New Roman"/>
          <w:sz w:val="18"/>
          <w:szCs w:val="18"/>
        </w:rPr>
        <w:t>ıncı</w:t>
      </w:r>
      <w:proofErr w:type="spellEnd"/>
      <w:r>
        <w:rPr>
          <w:rFonts w:hAnsi="Times New Roman"/>
          <w:sz w:val="18"/>
          <w:szCs w:val="18"/>
        </w:rPr>
        <w:t xml:space="preserve"> maddenin dördüncü fıkrasında yer alan komisyon teşkil edilecek ve değerlendirme neticesinde verilen karar ilgili rapor değerlendirme komisyonu ile incelemeye yetkili olanı bağlayacaktır.</w:t>
      </w:r>
    </w:p>
    <w:p w:rsidR="00B3471A" w:rsidRDefault="00B3471A" w:rsidP="00B3471A">
      <w:pPr>
        <w:pStyle w:val="3-NormalYaz"/>
        <w:spacing w:line="240" w:lineRule="exact"/>
        <w:ind w:firstLine="566"/>
        <w:rPr>
          <w:rFonts w:hAnsi="Times New Roman"/>
          <w:sz w:val="18"/>
          <w:szCs w:val="18"/>
        </w:rPr>
      </w:pPr>
      <w:r>
        <w:rPr>
          <w:rFonts w:hAnsi="Times New Roman"/>
          <w:sz w:val="18"/>
          <w:szCs w:val="18"/>
        </w:rPr>
        <w:t>Tebliğ olunur.</w:t>
      </w:r>
    </w:p>
    <w:p w:rsidR="00B3471A" w:rsidRDefault="00B3471A" w:rsidP="00681E0A">
      <w:pPr>
        <w:spacing w:after="0" w:line="280" w:lineRule="atLeast"/>
        <w:rPr>
          <w:rFonts w:ascii="Times New Roman" w:hAnsi="Times New Roman" w:cs="Times New Roman"/>
          <w:b/>
          <w:sz w:val="20"/>
          <w:szCs w:val="20"/>
          <w:u w:val="single"/>
        </w:rPr>
      </w:pPr>
    </w:p>
    <w:sectPr w:rsidR="00B3471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21A3"/>
    <w:rsid w:val="002344DB"/>
    <w:rsid w:val="00250F87"/>
    <w:rsid w:val="00255D66"/>
    <w:rsid w:val="002566FC"/>
    <w:rsid w:val="00261D6D"/>
    <w:rsid w:val="00293A69"/>
    <w:rsid w:val="002B4AF0"/>
    <w:rsid w:val="002B7399"/>
    <w:rsid w:val="002E68E5"/>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B52F5"/>
    <w:rsid w:val="004D6CD7"/>
    <w:rsid w:val="004E1C0B"/>
    <w:rsid w:val="00510570"/>
    <w:rsid w:val="00537F0B"/>
    <w:rsid w:val="005537FA"/>
    <w:rsid w:val="005603EC"/>
    <w:rsid w:val="0056277B"/>
    <w:rsid w:val="005A3F48"/>
    <w:rsid w:val="005B42A5"/>
    <w:rsid w:val="005D4E02"/>
    <w:rsid w:val="005E2AE1"/>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B6B6A"/>
    <w:rsid w:val="009D1064"/>
    <w:rsid w:val="009F1AA3"/>
    <w:rsid w:val="009F2D7D"/>
    <w:rsid w:val="00A01D20"/>
    <w:rsid w:val="00A26545"/>
    <w:rsid w:val="00A56163"/>
    <w:rsid w:val="00A64B17"/>
    <w:rsid w:val="00A75487"/>
    <w:rsid w:val="00A81FD8"/>
    <w:rsid w:val="00A86A0A"/>
    <w:rsid w:val="00A86C21"/>
    <w:rsid w:val="00A973F8"/>
    <w:rsid w:val="00AD5B84"/>
    <w:rsid w:val="00AE4861"/>
    <w:rsid w:val="00AF10DD"/>
    <w:rsid w:val="00B02D71"/>
    <w:rsid w:val="00B1197C"/>
    <w:rsid w:val="00B25D28"/>
    <w:rsid w:val="00B315A5"/>
    <w:rsid w:val="00B3471A"/>
    <w:rsid w:val="00B8184E"/>
    <w:rsid w:val="00B86757"/>
    <w:rsid w:val="00BB6F50"/>
    <w:rsid w:val="00BC163D"/>
    <w:rsid w:val="00BE08E0"/>
    <w:rsid w:val="00BF1681"/>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uiPriority w:val="10"/>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728</Words>
  <Characters>4154</Characters>
  <Application>Microsoft Office Word</Application>
  <DocSecurity>0</DocSecurity>
  <Lines>34</Lines>
  <Paragraphs>9</Paragraphs>
  <ScaleCrop>false</ScaleCrop>
  <Company>TURMOB</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200</cp:revision>
  <cp:lastPrinted>2013-01-07T06:33:00Z</cp:lastPrinted>
  <dcterms:created xsi:type="dcterms:W3CDTF">2013-01-02T06:53:00Z</dcterms:created>
  <dcterms:modified xsi:type="dcterms:W3CDTF">2013-03-27T06:29:00Z</dcterms:modified>
</cp:coreProperties>
</file>