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1E0A" w:rsidRDefault="00C3688A"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30</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28603</w:t>
      </w:r>
      <w:proofErr w:type="gramEnd"/>
    </w:p>
    <w:p w:rsidR="00BF3772" w:rsidRDefault="00BF3772" w:rsidP="00681E0A">
      <w:pPr>
        <w:spacing w:after="0" w:line="280" w:lineRule="atLeast"/>
        <w:rPr>
          <w:rFonts w:ascii="Times New Roman" w:hAnsi="Times New Roman" w:cs="Times New Roman"/>
          <w:b/>
          <w:sz w:val="20"/>
          <w:szCs w:val="20"/>
          <w:u w:val="single"/>
        </w:rPr>
      </w:pPr>
    </w:p>
    <w:p w:rsidR="00C3688A" w:rsidRDefault="00C3688A" w:rsidP="00C3688A">
      <w:pPr>
        <w:pStyle w:val="1-Baslk"/>
        <w:spacing w:line="240" w:lineRule="exact"/>
        <w:ind w:firstLine="566"/>
        <w:rPr>
          <w:rFonts w:hAnsi="Times New Roman"/>
          <w:sz w:val="18"/>
          <w:szCs w:val="18"/>
        </w:rPr>
      </w:pPr>
      <w:r>
        <w:rPr>
          <w:rFonts w:hAnsi="Times New Roman"/>
          <w:sz w:val="18"/>
          <w:szCs w:val="18"/>
        </w:rPr>
        <w:t>Türk Patent Enstitüsünden:</w:t>
      </w:r>
    </w:p>
    <w:p w:rsidR="00C3688A" w:rsidRDefault="00C3688A" w:rsidP="00C3688A">
      <w:pPr>
        <w:pStyle w:val="2-OrtaBaslk"/>
        <w:spacing w:line="240" w:lineRule="exact"/>
        <w:rPr>
          <w:rFonts w:hAnsi="Times New Roman"/>
          <w:sz w:val="18"/>
          <w:szCs w:val="18"/>
        </w:rPr>
      </w:pPr>
      <w:r>
        <w:rPr>
          <w:rFonts w:hAnsi="Times New Roman"/>
          <w:sz w:val="18"/>
          <w:szCs w:val="18"/>
        </w:rPr>
        <w:t>556 SAYILI MARKALARIN KORUNMASI HAKKINDA KANUN HÜKMÜNDE</w:t>
      </w:r>
    </w:p>
    <w:p w:rsidR="00C3688A" w:rsidRDefault="00C3688A" w:rsidP="00C3688A">
      <w:pPr>
        <w:pStyle w:val="2-OrtaBaslk"/>
        <w:spacing w:line="240" w:lineRule="exact"/>
        <w:rPr>
          <w:rFonts w:hAnsi="Times New Roman"/>
          <w:sz w:val="18"/>
          <w:szCs w:val="18"/>
        </w:rPr>
      </w:pPr>
      <w:r>
        <w:rPr>
          <w:rFonts w:hAnsi="Times New Roman"/>
          <w:sz w:val="18"/>
          <w:szCs w:val="18"/>
        </w:rPr>
        <w:t>KARARNAMENİN UYGULAMASINA DAİR YÖNETMELİKTE</w:t>
      </w:r>
    </w:p>
    <w:p w:rsidR="00C3688A" w:rsidRDefault="00C3688A" w:rsidP="00C3688A">
      <w:pPr>
        <w:pStyle w:val="2-OrtaBaslk"/>
        <w:spacing w:line="240" w:lineRule="exact"/>
        <w:rPr>
          <w:rFonts w:hAnsi="Times New Roman"/>
          <w:sz w:val="18"/>
          <w:szCs w:val="18"/>
        </w:rPr>
      </w:pPr>
      <w:r>
        <w:rPr>
          <w:rFonts w:hAnsi="Times New Roman"/>
          <w:sz w:val="18"/>
          <w:szCs w:val="18"/>
        </w:rPr>
        <w:t>DEĞİŞİKLİK YAPILMASINA DAİR YÖNETMELİK</w:t>
      </w:r>
    </w:p>
    <w:p w:rsidR="00C3688A" w:rsidRDefault="00C3688A" w:rsidP="00C3688A">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9/4/2005</w:t>
      </w:r>
      <w:proofErr w:type="gramEnd"/>
      <w:r>
        <w:rPr>
          <w:rFonts w:hAnsi="Times New Roman"/>
          <w:sz w:val="18"/>
          <w:szCs w:val="18"/>
        </w:rPr>
        <w:t xml:space="preserve"> tarihli ve 25781 sayılı Resmî Gazete’de yayımlanan 556 Sayılı Markaların Korunması Hakkında Kanun Hükmünde Kararnamenin Uygulamasına Dair Yönetmeliğin 4 üncü maddesinde yer alan “Marka” ve “Bülten” tanımları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“Marka: Ortak markalar ve garanti markaları </w:t>
      </w:r>
      <w:proofErr w:type="gramStart"/>
      <w:r>
        <w:rPr>
          <w:rFonts w:hAnsi="Times New Roman"/>
          <w:sz w:val="18"/>
          <w:szCs w:val="18"/>
        </w:rPr>
        <w:t>dahil</w:t>
      </w:r>
      <w:proofErr w:type="gramEnd"/>
      <w:r>
        <w:rPr>
          <w:rFonts w:hAnsi="Times New Roman"/>
          <w:sz w:val="18"/>
          <w:szCs w:val="18"/>
        </w:rPr>
        <w:t xml:space="preserve"> olmak üzere ticaret veya hizmet markalarını,”</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“Bülten: Yayın ortamının türüne bakılmaksızın marka başvurularına ilişkin bilgilerin yayımlandığı Resmi Marka Bültenini,”</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Aynı Yönetmeliğin 6 </w:t>
      </w:r>
      <w:proofErr w:type="spellStart"/>
      <w:r>
        <w:rPr>
          <w:rFonts w:hAnsi="Times New Roman"/>
          <w:sz w:val="18"/>
          <w:szCs w:val="18"/>
        </w:rPr>
        <w:t>ncı</w:t>
      </w:r>
      <w:proofErr w:type="spellEnd"/>
      <w:r>
        <w:rPr>
          <w:rFonts w:hAnsi="Times New Roman"/>
          <w:sz w:val="18"/>
          <w:szCs w:val="18"/>
        </w:rPr>
        <w:t xml:space="preserve"> maddesinin ikinci fıkrası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“Başvuru tarihi, başvuru dilekçesinin ve başvuru için gerekli evrakların Enstitü tarafından alındığı tarih, saat ve dakikadır. Madrid Protokolü kapsamında Türkiye’nin belirlenmiş akit taraf olduğu bir uluslararası başvuru, başvuru tarihinin ilk saat ve dakikasında yapılmış sayılır. Aynı tarihli birden çok uluslararası başvurunun bulunması halinde, uluslararası tescil numarası küçük olan önce yapılmış sayılır.”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Aynı Yönetmeliğin 7 </w:t>
      </w:r>
      <w:proofErr w:type="spellStart"/>
      <w:r>
        <w:rPr>
          <w:rFonts w:hAnsi="Times New Roman"/>
          <w:sz w:val="18"/>
          <w:szCs w:val="18"/>
        </w:rPr>
        <w:t>nci</w:t>
      </w:r>
      <w:proofErr w:type="spellEnd"/>
      <w:r>
        <w:rPr>
          <w:rFonts w:hAnsi="Times New Roman"/>
          <w:sz w:val="18"/>
          <w:szCs w:val="18"/>
        </w:rPr>
        <w:t xml:space="preserve"> maddesi başlığıyla birlikte aşağıdaki şekilde değiştirilmiştir.</w:t>
      </w:r>
    </w:p>
    <w:p w:rsidR="00C3688A" w:rsidRDefault="00C3688A" w:rsidP="00C3688A">
      <w:pPr>
        <w:pStyle w:val="3-NormalYaz"/>
        <w:spacing w:line="240" w:lineRule="exact"/>
        <w:ind w:firstLine="566"/>
        <w:rPr>
          <w:rFonts w:hAnsi="Times New Roman"/>
          <w:b/>
          <w:sz w:val="18"/>
          <w:szCs w:val="18"/>
        </w:rPr>
      </w:pPr>
      <w:r>
        <w:rPr>
          <w:rFonts w:hAnsi="Times New Roman"/>
          <w:b/>
          <w:sz w:val="18"/>
          <w:szCs w:val="18"/>
        </w:rPr>
        <w:t>“Başvuru hakkına sahip olanlar ve başvuru dilekçesi</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Gerçek kişiler, tüzel kişiler veya bunların vekilleri marka tescil başvurusunda bulunabilir.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Marka tescil başvurusu, Enstitü tarafından duyurulan Marka Tescil Başvuru Formu bilgisayar ortamında doldurulmak suretiyle Enstitüye sunulur. Elle doldurulmuş başvuru dilekçeleri kabul edilmez.</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Marka başvuru dilekçesinde aşağıdaki bilgilerin yer alması zorunludur.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a) Başvuru sahibinin kimlik, adres ve diğer iletişim bilgileri.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 Başvuru vekil aracılığı ile yapılıyorsa vekilin sicil numarası, kimlik, adres ve diğer iletişim bilgileri.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c) Varsa rüçhan hakkı talebine ilişkin bilgiler.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ç) Markanın baskı yoluyla çoğaltmaya ve yayıma elverişli örneği.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d) Marka örneğinde Latin alfabesi dışında harf veya harfler kullanılmış ise bunların Latin alfabesindeki karşılığı.</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e) Marka tescil başvurusuna konu malların veya hizmetlerin Nice Anlaşmasına göre sınıf numaraları ve bu numaralara uygun olarak düzenlenmiş listesi.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f) Yetkili kişi veya kişilerce atılmış imza.</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g) Ödemelere ilişkin bilgiler.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ğ) Varsa ilave sayfa sayısı ve eklere ilişkin bilgiler.”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Yönetmeliğin 8 inci maddesi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Başvuru dilekçesine aşağıda belirtilen belgeler eklenir.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a) Başvuru ücretinin ödendiğini gösterir bilgi veya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 İlave sınıf veya sınıfların ücretinin ödendiğini gösterir bilgi veya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c) Rüçhan hakkı talebi varsa, buna ilişkin ücretin ödendiğini gösterir bilgi veya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ç) Başvuru vekil aracılığı ile yapılıyorsa, 9 uncu maddeye uygun olarak düzenlenmiş </w:t>
      </w:r>
      <w:proofErr w:type="gramStart"/>
      <w:r>
        <w:rPr>
          <w:rFonts w:hAnsi="Times New Roman"/>
          <w:sz w:val="18"/>
          <w:szCs w:val="18"/>
        </w:rPr>
        <w:t>vekaletname</w:t>
      </w:r>
      <w:proofErr w:type="gramEnd"/>
      <w:r>
        <w:rPr>
          <w:rFonts w:hAnsi="Times New Roman"/>
          <w:sz w:val="18"/>
          <w:szCs w:val="18"/>
        </w:rPr>
        <w:t>.</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d) Başvuru ortak marka ya da garanti markası için yapılmış ise teknik yönetmelik.</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e) Rüçhan hakkından yararlanmak isteniyorsa, yetkili makamlardan alınan rüçhan hakkını gösterir belgenin aslı veya noter tasdikli sureti ve bu belgenin yeminli tercüman tarafından onaylanmış Türkçe tercümesi.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Birinci fıkranın (a) bendinde belirtilen başvuru ücreti tek sınıflı marka tescil başvuru ücretidir. Bir marka tescil başvurusu birden fazla sınıf için yapılmışsa, birinci fıkranın (a) bendinde belirtilen ücrete ek olarak (b) bendinde belirtilen ilave sınıf ücreti de ödenir.”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Aynı Yönetmeliğin 9 uncu maddesi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Marka tescil başvurusu </w:t>
      </w:r>
      <w:proofErr w:type="gramStart"/>
      <w:r>
        <w:rPr>
          <w:rFonts w:hAnsi="Times New Roman"/>
          <w:sz w:val="18"/>
          <w:szCs w:val="18"/>
        </w:rPr>
        <w:t>dahil</w:t>
      </w:r>
      <w:proofErr w:type="gramEnd"/>
      <w:r>
        <w:rPr>
          <w:rFonts w:hAnsi="Times New Roman"/>
          <w:sz w:val="18"/>
          <w:szCs w:val="18"/>
        </w:rPr>
        <w:t xml:space="preserve"> Enstitü nezdinde marka ile ilgili işlemlerin vekil aracılığı ile yürütülecek olması halinde, vekilin Enstitü nezdinde vekillik yapma yetkisini haiz olması, temsil yetkisini ve tarih bilgisini içeren yazılı vekaletname aslının veya marka vekili tarafından aslına uygunluğu onaylanmış ve onay tarihini içerir suretinin Enstitüye teslim edilmesi zorunludur.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Enstitü nezdinde vekillik yapma yetkisi olmayan kişilerce yapılan marka tescil başvurularında, başvuru veya tescil sonrası yapılacak diğer işlemlere ilişkin bildirimler başvuru sahibinin Türkiye’de </w:t>
      </w:r>
      <w:proofErr w:type="gramStart"/>
      <w:r>
        <w:rPr>
          <w:rFonts w:hAnsi="Times New Roman"/>
          <w:sz w:val="18"/>
          <w:szCs w:val="18"/>
        </w:rPr>
        <w:t>ikametgahı</w:t>
      </w:r>
      <w:proofErr w:type="gramEnd"/>
      <w:r>
        <w:rPr>
          <w:rFonts w:hAnsi="Times New Roman"/>
          <w:sz w:val="18"/>
          <w:szCs w:val="18"/>
        </w:rPr>
        <w:t xml:space="preserve"> varsa doğrudan başvuru sahibine yapılır. Başvuru sahibinin Türkiye’de </w:t>
      </w:r>
      <w:proofErr w:type="gramStart"/>
      <w:r>
        <w:rPr>
          <w:rFonts w:hAnsi="Times New Roman"/>
          <w:sz w:val="18"/>
          <w:szCs w:val="18"/>
        </w:rPr>
        <w:t>ikametgahı</w:t>
      </w:r>
      <w:proofErr w:type="gramEnd"/>
      <w:r>
        <w:rPr>
          <w:rFonts w:hAnsi="Times New Roman"/>
          <w:sz w:val="18"/>
          <w:szCs w:val="18"/>
        </w:rPr>
        <w:t xml:space="preserve"> yoksa başvuru sahibine vekil ataması için 2 aylık süre verilir. Bu süre içerisinde vekil atanmaz ise başvuru veya talep işlemden kaldırılır.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Enstitü nezdinde vekillik yapma yetkisini haiz bir vekil aracılığıyla yapılan başvuru ya da taleplerde </w:t>
      </w:r>
      <w:proofErr w:type="gramStart"/>
      <w:r>
        <w:rPr>
          <w:rFonts w:hAnsi="Times New Roman"/>
          <w:sz w:val="18"/>
          <w:szCs w:val="18"/>
        </w:rPr>
        <w:t>vekaletnamenin</w:t>
      </w:r>
      <w:proofErr w:type="gramEnd"/>
      <w:r>
        <w:rPr>
          <w:rFonts w:hAnsi="Times New Roman"/>
          <w:sz w:val="18"/>
          <w:szCs w:val="18"/>
        </w:rPr>
        <w:t xml:space="preserve"> Enstitüye sunulmaması veya sunulan vekaletnamenin birinci fıkrada belirtilen şartları taşımaması halinde, eksikliğin giderilmesi için vekile 2 aylık süre verilir. Bu süre içerisinde eksikliğin giderilmemesi halinde başvuru ya da talep sahibinin </w:t>
      </w:r>
      <w:r>
        <w:rPr>
          <w:rFonts w:hAnsi="Times New Roman"/>
          <w:sz w:val="18"/>
          <w:szCs w:val="18"/>
        </w:rPr>
        <w:lastRenderedPageBreak/>
        <w:t xml:space="preserve">Türkiye’de </w:t>
      </w:r>
      <w:proofErr w:type="gramStart"/>
      <w:r>
        <w:rPr>
          <w:rFonts w:hAnsi="Times New Roman"/>
          <w:sz w:val="18"/>
          <w:szCs w:val="18"/>
        </w:rPr>
        <w:t>ikametgahı</w:t>
      </w:r>
      <w:proofErr w:type="gramEnd"/>
      <w:r>
        <w:rPr>
          <w:rFonts w:hAnsi="Times New Roman"/>
          <w:sz w:val="18"/>
          <w:szCs w:val="18"/>
        </w:rPr>
        <w:t xml:space="preserve"> varsa bildirimler doğrudan başvuru ya da talep sahibine yapılır. Başvuru ya da talep sahibinin Türkiye’de </w:t>
      </w:r>
      <w:proofErr w:type="gramStart"/>
      <w:r>
        <w:rPr>
          <w:rFonts w:hAnsi="Times New Roman"/>
          <w:sz w:val="18"/>
          <w:szCs w:val="18"/>
        </w:rPr>
        <w:t>ikametgahı</w:t>
      </w:r>
      <w:proofErr w:type="gramEnd"/>
      <w:r>
        <w:rPr>
          <w:rFonts w:hAnsi="Times New Roman"/>
          <w:sz w:val="18"/>
          <w:szCs w:val="18"/>
        </w:rPr>
        <w:t xml:space="preserve"> yoksa başvuru ya da talep işlemden kaldırılır.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İtirazla ilgili işlemlerde, itiraz süresi içerisinde </w:t>
      </w:r>
      <w:proofErr w:type="gramStart"/>
      <w:r>
        <w:rPr>
          <w:rFonts w:hAnsi="Times New Roman"/>
          <w:sz w:val="18"/>
          <w:szCs w:val="18"/>
        </w:rPr>
        <w:t>vekaletnamenin</w:t>
      </w:r>
      <w:proofErr w:type="gramEnd"/>
      <w:r>
        <w:rPr>
          <w:rFonts w:hAnsi="Times New Roman"/>
          <w:sz w:val="18"/>
          <w:szCs w:val="18"/>
        </w:rPr>
        <w:t xml:space="preserve"> Enstitüye sunulması zorunlu olup vekaletnamenin sunulmaması halinde itiraz sahibinin Türkiye’de ikametgahı varsa bildirimler doğrudan itiraz sahibine yapılır. İtiraz sahibinin Türkiye’de </w:t>
      </w:r>
      <w:proofErr w:type="gramStart"/>
      <w:r>
        <w:rPr>
          <w:rFonts w:hAnsi="Times New Roman"/>
          <w:sz w:val="18"/>
          <w:szCs w:val="18"/>
        </w:rPr>
        <w:t>ikametgahı</w:t>
      </w:r>
      <w:proofErr w:type="gramEnd"/>
      <w:r>
        <w:rPr>
          <w:rFonts w:hAnsi="Times New Roman"/>
          <w:sz w:val="18"/>
          <w:szCs w:val="18"/>
        </w:rPr>
        <w:t xml:space="preserve"> yoksa itiraz işlemden kaldırılır.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Enstitü nezdinde başvuru veya tescilden doğan haktan vazgeçilmesi, itirazın geri çekilmesi işlemleri ile kısmen veya tamamen bu sonuçları doğuracak işlemlerin vekil tarafından yapılabilmesi için, bu yetkileri açıkça belirten ve noter tasdikli </w:t>
      </w:r>
      <w:proofErr w:type="gramStart"/>
      <w:r>
        <w:rPr>
          <w:rFonts w:hAnsi="Times New Roman"/>
          <w:sz w:val="18"/>
          <w:szCs w:val="18"/>
        </w:rPr>
        <w:t>vekaletname</w:t>
      </w:r>
      <w:proofErr w:type="gramEnd"/>
      <w:r>
        <w:rPr>
          <w:rFonts w:hAnsi="Times New Roman"/>
          <w:sz w:val="18"/>
          <w:szCs w:val="18"/>
        </w:rPr>
        <w:t xml:space="preserve"> sunulması gerekir.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Enstitü nezdinde işlem gören marka tescil başvurusu, itiraz veya diğer talepler hakkında birden fazla vekil tayin edildiği durumlarda bildirime konu talep için yetkilendirilmiş vekillerden herhangi birine bildirimde bulunulması yeterli olup, bu bildirim asile yapılmış sayılır.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Enstitü, vekaletnameyle ilgili olarak makul sebeplerle şüpheye düşerse, vekilden noter tasdiki de </w:t>
      </w:r>
      <w:proofErr w:type="gramStart"/>
      <w:r>
        <w:rPr>
          <w:rFonts w:hAnsi="Times New Roman"/>
          <w:sz w:val="18"/>
          <w:szCs w:val="18"/>
        </w:rPr>
        <w:t>dahil</w:t>
      </w:r>
      <w:proofErr w:type="gramEnd"/>
      <w:r>
        <w:rPr>
          <w:rFonts w:hAnsi="Times New Roman"/>
          <w:sz w:val="18"/>
          <w:szCs w:val="18"/>
        </w:rPr>
        <w:t xml:space="preserve"> her türlü delilin sunulmasını isteyebilir.”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Aynı Yönetmeliğin 10 uncu maddesi başlığıyla birlikte aşağıdaki şekilde değiştirilmiştir.</w:t>
      </w:r>
    </w:p>
    <w:p w:rsidR="00C3688A" w:rsidRDefault="00C3688A" w:rsidP="00C3688A">
      <w:pPr>
        <w:pStyle w:val="3-NormalYaz"/>
        <w:spacing w:line="240" w:lineRule="exact"/>
        <w:ind w:firstLine="566"/>
        <w:rPr>
          <w:rFonts w:hAnsi="Times New Roman"/>
          <w:b/>
          <w:sz w:val="18"/>
          <w:szCs w:val="18"/>
        </w:rPr>
      </w:pPr>
      <w:r>
        <w:rPr>
          <w:rFonts w:hAnsi="Times New Roman"/>
          <w:b/>
          <w:sz w:val="18"/>
          <w:szCs w:val="18"/>
        </w:rPr>
        <w:t>“Şekli inceleme</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Enstitü, bir marka tescil başvurusunu 7 </w:t>
      </w:r>
      <w:proofErr w:type="spellStart"/>
      <w:r>
        <w:rPr>
          <w:rFonts w:hAnsi="Times New Roman"/>
          <w:sz w:val="18"/>
          <w:szCs w:val="18"/>
        </w:rPr>
        <w:t>nci</w:t>
      </w:r>
      <w:proofErr w:type="spellEnd"/>
      <w:r>
        <w:rPr>
          <w:rFonts w:hAnsi="Times New Roman"/>
          <w:sz w:val="18"/>
          <w:szCs w:val="18"/>
        </w:rPr>
        <w:t xml:space="preserve"> madde ile 8 inci maddenin birinci fıkrasının (a) bendi ve uygulanabilir durumlarda (b), (c), (ç) ve (d) bentleri açısından inceler.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Başvuru tarihi, başvuru sahibinin kimlik bilgilerini içeren imzalı başvuru dilekçesinin, markanın baskı yoluyla çoğaltmaya ve yayıma elverişli örneğinin, başvuruya konu malların veya hizmetlerin listesinin ve başvuru ücretinin ödendiğini gösterir bilgi veya belgelerin Enstitüye verildiği tarih, saat ve dakika itibarıyla kesinleşir.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İkinci fıkrada belirtilen unsurlardan herhangi birinin eksik olduğu tespit edilirse başvuru şeklen reddedilir ve başvuru sahibine söz konusu eksikliklerin giderilmesi için 2 aylık süre verilir. Bu süre içerisinde eksikliklerin giderilmesi halinde başvuru işlemlerine devam edilir. Bu durumda başvuru tarihi, eksiklikleri giderilen bilgi veya belgelerin Enstitüce alındığı tarih, saat ve dakika itibarıyla kesinlik kazanır. Eksikliklerin belirtilen süre içerisinde giderilmemesi halinde başvuru işlemden kaldırılır.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İkinci fıkra kapsamı dışında kalan eksikliklerin giderilmesi için başvuru sahibine 2 aylık süre verilir. Bu süre içerisinde eksikliklerin giderilmesi halinde başvuru tarihi etkilenmez. 9 uncu ve 11 inci madde hükümleri saklı kalmak üzere 2 aylık süre içerisinde bu fıkra kapsamındaki eksikliklerin giderilmemesi halinde başvuru işlemden kaldırılır. Ancak 8 inci maddenin (c) bendinde belirtilen bilgi veya belgenin verilen 2 aylık süre içerisinde veya (e) bendinde belirtilen belgenin Kanun Hükmünde Kararnamenin 28 inci maddesi gereğince 3 aylık süre içerisinde Enstitüye sunulmaması halinde başvuru sadece rüçhan hakkından yararlanamaz.</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8 inci maddenin (d) bendinde belirtilen teknik yönetmelikte, başvuru sahibi veya sahipleri gerçek kişi ise kimlik bilgilerinin, tüzel kişi ise ticaret unvanlarının, adreslerinin, başvuruya ilişkin tek bir yazışma adresinin, marka örneğinin, markanın hangi mal veya hizmetlerde ne şekilde kullanılacağının, markanın kullanım usullerinin açıklanması gerekmektedir. </w:t>
      </w:r>
      <w:proofErr w:type="gramStart"/>
      <w:r>
        <w:rPr>
          <w:rFonts w:hAnsi="Times New Roman"/>
          <w:sz w:val="18"/>
          <w:szCs w:val="18"/>
        </w:rPr>
        <w:t>Ayrıca, garanti markası teknik yönetmeliğinde; markanın garanti ettiği mal veya hizmetlerin ortak özelliklerinin, markayı kullanmaya yetkili kişilerin, markayı kullanma hakkının ne şekilde elde edileceğinin, markanın kullanma hakkının verilmesinden sonra denetimlerin kim tarafından, nasıl ve hangi sıklıkta yapılacağı ile teknik yönetmeliğe aykırı kullanma halinde uygulanacak yaptırımların; ortak marka teknik yönetmeliğinde de ortak markayı kullanmaya yetkili olan işletmelerin, teknik yönetmeliğe aykırı kullanma halinde uygulanacak yaptırımların belirtilmesi zorunludur.”</w:t>
      </w:r>
      <w:proofErr w:type="gramEnd"/>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Aynı Yönetmeliğin 11 inci maddesi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Kanun Hükmünde Kararnamenin 24 üncü maddesine göre başvuru dilekçesinde bulunan mal veya hizmetler Nice Anlaşmasında yer alan esaslara göre sınıflandırılır.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Tescili talep edilen mal veya hizmetlerin Nice Anlaşmasına göre sınıflara ayrılmış olarak ve mal veya hizmetlerin sınıf numaraları belirtilerek sunulması gerekir.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Başvuru dilekçesinde, tescili talep edilen mallar veya hizmetler genel tabir kullanılmadan yazılır. Mal veya hizmet listesinde genel tabir kullanılmış ise, genel tabirlerin açıklanması için 2 aylık süre verilir. Bu süre içerisinde açıklamanın Enstitüye sunulmaması halinde Enstitü açıklanması talep edilen genel tabirleri listeden çıkartır.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Enstitü, başvuru dilekçesinde yer alan mal veya hizmetlerin ait oldukları sınıflarda ve sınıf numaraları üzerinde gerekli düzenlemeleri yapmaya yetkilidir. Mal veya hizmet listesinin Nice Anlaşmasında yer alan esaslara uygun olarak düzenlenmemesi halinde, gerekli görülen hallerde, Enstitü yapılacak düzenlemeler için başvuru sahibinden sınıflandırma listesi düzenleme ücretinin 2 aylık süre içerisinde ödenmesini talep eder. Bu süre içerisinde söz konusu ücretin ödendiğine ilişkin bilgi veya belgenin Enstitüye sunulmaması halinde başvuru işlemden kaldırılır.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Birden fazla sınıf içeren başvurularda ilave sınıf ücretinin ödendiğine ilişkin bilgi veya belgenin Enstitü tarafından verilen 2 aylık süre içerisinde Enstitüye sunulmaması halinde başvuru, mal veya hizmetlerin başvuru dilekçesindeki yazılış sırası dikkate alınmak suretiyle, ödenen ücrete karşılık gelen sınıflar bakımından değerlendirmeye alınır.”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Yönetmeliğin 12 </w:t>
      </w:r>
      <w:proofErr w:type="spellStart"/>
      <w:r>
        <w:rPr>
          <w:rFonts w:hAnsi="Times New Roman"/>
          <w:sz w:val="18"/>
          <w:szCs w:val="18"/>
        </w:rPr>
        <w:t>nci</w:t>
      </w:r>
      <w:proofErr w:type="spellEnd"/>
      <w:r>
        <w:rPr>
          <w:rFonts w:hAnsi="Times New Roman"/>
          <w:sz w:val="18"/>
          <w:szCs w:val="18"/>
        </w:rPr>
        <w:t xml:space="preserve"> maddesi başlığıyla birlikte aşağıdaki şekilde değiştirilmiştir.</w:t>
      </w:r>
    </w:p>
    <w:p w:rsidR="00C3688A" w:rsidRDefault="00C3688A" w:rsidP="00C3688A">
      <w:pPr>
        <w:pStyle w:val="3-NormalYaz"/>
        <w:spacing w:line="240" w:lineRule="exact"/>
        <w:ind w:firstLine="566"/>
        <w:rPr>
          <w:rFonts w:hAnsi="Times New Roman"/>
          <w:b/>
          <w:sz w:val="18"/>
          <w:szCs w:val="18"/>
        </w:rPr>
      </w:pPr>
      <w:r>
        <w:rPr>
          <w:rFonts w:hAnsi="Times New Roman"/>
          <w:b/>
          <w:sz w:val="18"/>
          <w:szCs w:val="18"/>
        </w:rPr>
        <w:t>“Süreler ve işlem formları</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lastRenderedPageBreak/>
        <w:t>MADDE 12 –</w:t>
      </w:r>
      <w:r>
        <w:rPr>
          <w:rFonts w:hAnsi="Times New Roman"/>
          <w:sz w:val="18"/>
          <w:szCs w:val="18"/>
        </w:rPr>
        <w:t xml:space="preserve"> Kanun Hükmünde Kararnamede veya bu Yönetmelikte aksi açıkça belirtilmediği sürece, bu Yönetmelikte geçen tüm süreler 2 aydır.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Tebliğde yer alması kaydıyla, marka başvurusunun tescili için gerekli marka tescil belgesi düzenleme ücretinin ödendiğini gösterir bilgi veya belgenin Enstitünün bu bilgi veya belgeyi talep etmesinden itibaren 2 aylık süre içerisinde Enstitüye sunulması gerekir.</w:t>
      </w:r>
    </w:p>
    <w:p w:rsidR="00C3688A" w:rsidRDefault="00C3688A" w:rsidP="00C3688A">
      <w:pPr>
        <w:pStyle w:val="3-NormalYaz"/>
        <w:spacing w:line="240" w:lineRule="exact"/>
        <w:ind w:firstLine="566"/>
        <w:rPr>
          <w:rFonts w:hAnsi="Times New Roman"/>
          <w:sz w:val="18"/>
          <w:szCs w:val="18"/>
        </w:rPr>
      </w:pPr>
      <w:proofErr w:type="gramStart"/>
      <w:r>
        <w:rPr>
          <w:rFonts w:hAnsi="Times New Roman"/>
          <w:sz w:val="18"/>
          <w:szCs w:val="18"/>
        </w:rPr>
        <w:t xml:space="preserve">Bu Yönetmeliğin 8, 9, 10, 11, 15, 17, 18, 19, 20, 22, 24, 25, 26, 27, 28, 29 ve 33 üncü maddeleri ile ilgili diğer maddeler gereğince yapılacak işlemlerde, başvuru sahibi tarafından Enstitüye gönderilen belgelerde eksiklik olduğunun tespit edilmesi halinde başvuru sahibine veya vekiline eksikliklerin giderilmesi için 2 aylık süre verilir. </w:t>
      </w:r>
      <w:proofErr w:type="gramEnd"/>
      <w:r>
        <w:rPr>
          <w:rFonts w:hAnsi="Times New Roman"/>
          <w:sz w:val="18"/>
          <w:szCs w:val="18"/>
        </w:rPr>
        <w:t>Bu süre içerisinde eksikliklerin giderilmemesi halinde bu maddelerde öngörülen işlemler yapılmaz, başvuru ya da talep işlemden kaldırılmış sayılır ve alınan ücret Enstitüye irat kaydedilir.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Bu Yönetmelikte geçen başvuru formu, talep, dilekçe veya başvuru dilekçesi, Enstitü tarafından geçerli kabul edilen ve elektronik ortamda kullanıma sunulan işlem formlarıdır. Enstitüye sunulacak başvuru veya taleplerde Enstitü tarafından geçerli kabul edilen bu işlem formlarının kullanılması zorunludur. Bu formlar kullanılmaksızın yapılan başvuru veya taleplerde, başvuru veya talebin geçerli işlem formları ile hazırlanarak Enstitüye sunulması amacıyla 2 aylık süre verilir.”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Aynı Yönetmeliğin 13 üncü maddesinin birinci ve ikinci fıkrasında yer alan “aylık” ibaresi “periyodik” olarak değiştirilmiştir.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Aynı Yönetmeliğin 15 inci maddesinin ikinci fıkrasının (b) ve (c) bentleri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 Ücretin ödendiğini gösterir bilgi veya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c) Talep vekil aracılığıyla yapılmışsa, talep edilen işleme ilişkin yetkinin varlığının açıkça belirtildiği, 9 uncu maddeye uygun olarak düzenlenmiş </w:t>
      </w:r>
      <w:proofErr w:type="gramStart"/>
      <w:r>
        <w:rPr>
          <w:rFonts w:hAnsi="Times New Roman"/>
          <w:sz w:val="18"/>
          <w:szCs w:val="18"/>
        </w:rPr>
        <w:t>vekaletname</w:t>
      </w:r>
      <w:proofErr w:type="gramEnd"/>
      <w:r>
        <w:rPr>
          <w:rFonts w:hAnsi="Times New Roman"/>
          <w:sz w:val="18"/>
          <w:szCs w:val="18"/>
        </w:rPr>
        <w:t>.”</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 xml:space="preserve">Aynı Yönetmeliğin 17 </w:t>
      </w:r>
      <w:proofErr w:type="spellStart"/>
      <w:r>
        <w:rPr>
          <w:rFonts w:hAnsi="Times New Roman"/>
          <w:sz w:val="18"/>
          <w:szCs w:val="18"/>
        </w:rPr>
        <w:t>nci</w:t>
      </w:r>
      <w:proofErr w:type="spellEnd"/>
      <w:r>
        <w:rPr>
          <w:rFonts w:hAnsi="Times New Roman"/>
          <w:sz w:val="18"/>
          <w:szCs w:val="18"/>
        </w:rPr>
        <w:t xml:space="preserve"> maddesinin birinci fıkrasının (b) ve (c) bentleri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 Ücretin ödendiğini gösterir bilgi veya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c) Talep vekil aracılığıyla yapılmışsa 9 uncu maddeye uygun olarak düzenlenmiş </w:t>
      </w:r>
      <w:proofErr w:type="gramStart"/>
      <w:r>
        <w:rPr>
          <w:rFonts w:hAnsi="Times New Roman"/>
          <w:sz w:val="18"/>
          <w:szCs w:val="18"/>
        </w:rPr>
        <w:t>vekaletname</w:t>
      </w:r>
      <w:proofErr w:type="gramEnd"/>
      <w:r>
        <w:rPr>
          <w:rFonts w:hAnsi="Times New Roman"/>
          <w:sz w:val="18"/>
          <w:szCs w:val="18"/>
        </w:rPr>
        <w:t>.”</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Aynı Yönetmeliğin 18 inci maddesinin birinci fıkrası ile üçüncü fıkrası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“Unvan, adres veya </w:t>
      </w:r>
      <w:proofErr w:type="spellStart"/>
      <w:r>
        <w:rPr>
          <w:rFonts w:hAnsi="Times New Roman"/>
          <w:sz w:val="18"/>
          <w:szCs w:val="18"/>
        </w:rPr>
        <w:t>nev’i</w:t>
      </w:r>
      <w:proofErr w:type="spellEnd"/>
      <w:r>
        <w:rPr>
          <w:rFonts w:hAnsi="Times New Roman"/>
          <w:sz w:val="18"/>
          <w:szCs w:val="18"/>
        </w:rPr>
        <w:t xml:space="preserve"> değişikliklerinin sicile kaydı için aşağıdaki belgelerin verilmesi zorunludur.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a) Talep dilekçesi.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 Ücretin ödendiğini gösterir bilgi veya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c) Talep vekil aracılığıyla yapılmışsa 9 uncu maddeye uygun olarak düzenlenmiş </w:t>
      </w:r>
      <w:proofErr w:type="gramStart"/>
      <w:r>
        <w:rPr>
          <w:rFonts w:hAnsi="Times New Roman"/>
          <w:sz w:val="18"/>
          <w:szCs w:val="18"/>
        </w:rPr>
        <w:t>vekaletname</w:t>
      </w:r>
      <w:proofErr w:type="gramEnd"/>
      <w:r>
        <w:rPr>
          <w:rFonts w:hAnsi="Times New Roman"/>
          <w:sz w:val="18"/>
          <w:szCs w:val="18"/>
        </w:rPr>
        <w:t>.</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ç) Unvan veya </w:t>
      </w:r>
      <w:proofErr w:type="spellStart"/>
      <w:r>
        <w:rPr>
          <w:rFonts w:hAnsi="Times New Roman"/>
          <w:sz w:val="18"/>
          <w:szCs w:val="18"/>
        </w:rPr>
        <w:t>nev’i</w:t>
      </w:r>
      <w:proofErr w:type="spellEnd"/>
      <w:r>
        <w:rPr>
          <w:rFonts w:hAnsi="Times New Roman"/>
          <w:sz w:val="18"/>
          <w:szCs w:val="18"/>
        </w:rPr>
        <w:t xml:space="preserve"> değişikliğini gösterir Ticaret Sicil Gazetesi veya yetkili mercilerce onaylanmış belge ile unvan veya </w:t>
      </w:r>
      <w:proofErr w:type="spellStart"/>
      <w:r>
        <w:rPr>
          <w:rFonts w:hAnsi="Times New Roman"/>
          <w:sz w:val="18"/>
          <w:szCs w:val="18"/>
        </w:rPr>
        <w:t>nev’i</w:t>
      </w:r>
      <w:proofErr w:type="spellEnd"/>
      <w:r>
        <w:rPr>
          <w:rFonts w:hAnsi="Times New Roman"/>
          <w:sz w:val="18"/>
          <w:szCs w:val="18"/>
        </w:rPr>
        <w:t xml:space="preserve"> değişikliğini gösterir belgenin yabancı dilde olması halinde ilaveten yeminli tercüman tarafından onaylanmış Türkçe tercümesi.”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“Değişiklik nedeninin aynı olması kaydıyla, talebin bir veya daha fazla marka tesciline veya başvurusuna ilişkin olması halinde değişikliğin sicile kaydı, tescil veya başvuru sayısına bakılmaksızın tek bir ücret alınarak yapılır.”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Aynı Yönetmeliğin 19 uncu maddesi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Marka sahibi; devir, kısmi devir, birleşme, miras yolu ile intikal veya markanın cebri icra yoluyla satılması nedeniyle değişmişse, değişiklik aşağıda belirtilen belgelerin sunulması halinde sicile kaydedilir ve Gazetede yayımlanır.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a) Devir veya kısmi devrin sicile kaydı için aşağıdaki belgelerin verilmesi zorunludur.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1) Talep dilekçesi.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2) Ücretin ödendiğini gösterir bilgi veya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3) Devre konu marka tescil numarası ile marka adının yer aldığı, kısmi devirler için devredilen mal veya hizmetlerin belirtildiği noter tasdikli devir sözleşmesi.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4) Talep vekil aracılığıyla yapılmışsa 9 uncu maddeye uygun olarak düzenlenmiş </w:t>
      </w:r>
      <w:proofErr w:type="gramStart"/>
      <w:r>
        <w:rPr>
          <w:rFonts w:hAnsi="Times New Roman"/>
          <w:sz w:val="18"/>
          <w:szCs w:val="18"/>
        </w:rPr>
        <w:t>vekaletname</w:t>
      </w:r>
      <w:proofErr w:type="gramEnd"/>
      <w:r>
        <w:rPr>
          <w:rFonts w:hAnsi="Times New Roman"/>
          <w:sz w:val="18"/>
          <w:szCs w:val="18"/>
        </w:rPr>
        <w:t>.</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 Birleşme veya ayni sermaye koyma borcunun sicile kaydı ve yayımlanması için aşağıdaki belgelerin verilmesi zorunludur.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1) Birleşme veya ayni sermaye koyma borcuna konu marka tescil numarası ile marka adının yer aldığı talep dilekçesi.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2) Birleşme veya ayni sermaye koyma borcunun yayımlandığı Ticaret Sicil Gazetesi veya yetkili mercilerce onaylanmış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3) Ücretin ödendiğini gösterir bilgi veya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4) Talep vekil aracılığıyla yapılmışsa 9 uncu maddeye uygun olarak düzenlenmiş </w:t>
      </w:r>
      <w:proofErr w:type="gramStart"/>
      <w:r>
        <w:rPr>
          <w:rFonts w:hAnsi="Times New Roman"/>
          <w:sz w:val="18"/>
          <w:szCs w:val="18"/>
        </w:rPr>
        <w:t>vekaletname</w:t>
      </w:r>
      <w:proofErr w:type="gramEnd"/>
      <w:r>
        <w:rPr>
          <w:rFonts w:hAnsi="Times New Roman"/>
          <w:sz w:val="18"/>
          <w:szCs w:val="18"/>
        </w:rPr>
        <w:t>.</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c) Miras yolu ile intikal halinin sicile kaydı ve yayımlanması için aşağıdaki belgelerin verilmesi zorunludur.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1) Miras yolu ile intikale konu marka tescil numarası ile marka adının yer aldığı talep dilekçesi.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2) Mirasçılık Belgesi ya da atanmış mirasçı veya vasiyet alacaklısı olduğunu gösterir belge ya da noter tasdikli örneği.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3) Ücretin ödendiğini gösterir bilgi veya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lastRenderedPageBreak/>
        <w:t xml:space="preserve">4) Talep vekil aracılığıyla yapılmışsa 9 uncu maddeye uygun olarak düzenlenmiş </w:t>
      </w:r>
      <w:proofErr w:type="gramStart"/>
      <w:r>
        <w:rPr>
          <w:rFonts w:hAnsi="Times New Roman"/>
          <w:sz w:val="18"/>
          <w:szCs w:val="18"/>
        </w:rPr>
        <w:t>vekaletname</w:t>
      </w:r>
      <w:proofErr w:type="gramEnd"/>
      <w:r>
        <w:rPr>
          <w:rFonts w:hAnsi="Times New Roman"/>
          <w:sz w:val="18"/>
          <w:szCs w:val="18"/>
        </w:rPr>
        <w:t>.</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ç) Markanın cebri icra yoluyla satılması halinde mülkiyet değişikliğinin sicile kaydı ve yayımlanması için aşağıdaki belgelerin verilmesi zorunludur.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1) Cebri icra yoluyla edinilen markanın tescil numarası ile marka adının yer aldığı talep dilekçesi.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2) Cebri icra yoluyla yapılan satışta, markanın kime satıldığını belirten ilgili merciin yazısı.</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3) Talep vekil aracılığıyla yapılmışsa 9 uncu maddeye uygun olarak düzenlenmiş </w:t>
      </w:r>
      <w:proofErr w:type="gramStart"/>
      <w:r>
        <w:rPr>
          <w:rFonts w:hAnsi="Times New Roman"/>
          <w:sz w:val="18"/>
          <w:szCs w:val="18"/>
        </w:rPr>
        <w:t>vekaletname</w:t>
      </w:r>
      <w:proofErr w:type="gramEnd"/>
      <w:r>
        <w:rPr>
          <w:rFonts w:hAnsi="Times New Roman"/>
          <w:sz w:val="18"/>
          <w:szCs w:val="18"/>
        </w:rPr>
        <w:t>.</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Kısmi devir halinde, kısmi olarak devredilen mal veya hizmetler için, kısmi devralan adına yeni bir marka dosyası oluşturularak devir kapsamı mal veya hizmetleri içeren marka tescil belgesi yeni marka tescil numarası verilerek düzenlenir. Marka, yeni tescil numarası ile ilk tescil tarihi de belirtilerek sicile kaydedilir ve Gazetede yayımlanır. Yeni oluşturulan marka tescil belgesi için belge düzenleme ücreti alınır.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Markanın mülkiyetindeki değişikliğin birden fazla sayıda tescile ilişkin olması halinde, ilgili tüm tescil numaralarının talep dilekçesinde belirtilmesi, değişikliğin aynı hukuki işlemden kaynaklanması ve markanın eski ve yeni sahiplerinin aynı olması şartıyla tek bir talep yeterli olur. Ancak talep dilekçesinde yer alan her marka için ayrı ücret ödenir.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Markanın mülkiyetinde değişikliğe ilişkin taleplerde belgelerin yabancı dilde olması halinde ilaveten belgenin yeminli tercüman tarafından onaylanmış Türkçe tercümesinin de sunulması gerekir.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Makul nedenlerle şüpheye düşülmesi halinde Enstitü, mülkiyet değişikliği talebine ilişkin olarak, talep sahibinden gerektiğinde noter tasdiki de </w:t>
      </w:r>
      <w:proofErr w:type="gramStart"/>
      <w:r>
        <w:rPr>
          <w:rFonts w:hAnsi="Times New Roman"/>
          <w:sz w:val="18"/>
          <w:szCs w:val="18"/>
        </w:rPr>
        <w:t>dahil</w:t>
      </w:r>
      <w:proofErr w:type="gramEnd"/>
      <w:r>
        <w:rPr>
          <w:rFonts w:hAnsi="Times New Roman"/>
          <w:sz w:val="18"/>
          <w:szCs w:val="18"/>
        </w:rPr>
        <w:t xml:space="preserve"> her türlü delilin sunulmasını isteyebilir.”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Aynı Yönetmeliğin 20 </w:t>
      </w:r>
      <w:proofErr w:type="spellStart"/>
      <w:r>
        <w:rPr>
          <w:rFonts w:hAnsi="Times New Roman"/>
          <w:sz w:val="18"/>
          <w:szCs w:val="18"/>
        </w:rPr>
        <w:t>nci</w:t>
      </w:r>
      <w:proofErr w:type="spellEnd"/>
      <w:r>
        <w:rPr>
          <w:rFonts w:hAnsi="Times New Roman"/>
          <w:sz w:val="18"/>
          <w:szCs w:val="18"/>
        </w:rPr>
        <w:t xml:space="preserve"> maddesinin ikinci fıkrası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“Lisansın sicile kaydı ve yayımlanması için, aşağıdaki belgelerin verilmesi zorunludur.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a) Lisansa konu marka tescil numarası ile marka adının yer aldığı talep dilekçesi.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 Lisans alan ve verenin imza ve beyanlarını, lisansa konu olan mal veya hizmetleri, marka tescil numarasını, marka adını, varsa lisans ücretini, lisans süresini belirtir noter tasdikli lisans sözleşmesi, lisans sözleşmesinin yabancı dilde olması halinde ilaveten yeminli tercüman tarafından onaylanmış Türkçe tercümesi.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c) Ücretin ödendiğini gösterir bilgi veya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ç) Talep vekil aracılığıyla yapılmışsa 9 uncu maddeye uygun olarak düzenlenmiş </w:t>
      </w:r>
      <w:proofErr w:type="gramStart"/>
      <w:r>
        <w:rPr>
          <w:rFonts w:hAnsi="Times New Roman"/>
          <w:sz w:val="18"/>
          <w:szCs w:val="18"/>
        </w:rPr>
        <w:t>vekaletname</w:t>
      </w:r>
      <w:proofErr w:type="gramEnd"/>
      <w:r>
        <w:rPr>
          <w:rFonts w:hAnsi="Times New Roman"/>
          <w:sz w:val="18"/>
          <w:szCs w:val="18"/>
        </w:rPr>
        <w:t>.”</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Aynı Yönetmeliğin 22 </w:t>
      </w:r>
      <w:proofErr w:type="spellStart"/>
      <w:r>
        <w:rPr>
          <w:rFonts w:hAnsi="Times New Roman"/>
          <w:sz w:val="18"/>
          <w:szCs w:val="18"/>
        </w:rPr>
        <w:t>nci</w:t>
      </w:r>
      <w:proofErr w:type="spellEnd"/>
      <w:r>
        <w:rPr>
          <w:rFonts w:hAnsi="Times New Roman"/>
          <w:sz w:val="18"/>
          <w:szCs w:val="18"/>
        </w:rPr>
        <w:t xml:space="preserve"> maddesinin ikinci fıkrası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“Rehin talebinin sicile kaydı ve yayımlanması için aşağıdaki belgelerin verilmesi zorunludur.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a) Talep dilekçesi.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b) </w:t>
      </w:r>
      <w:proofErr w:type="spellStart"/>
      <w:r>
        <w:rPr>
          <w:rFonts w:hAnsi="Times New Roman"/>
          <w:sz w:val="18"/>
          <w:szCs w:val="18"/>
        </w:rPr>
        <w:t>Rehne</w:t>
      </w:r>
      <w:proofErr w:type="spellEnd"/>
      <w:r>
        <w:rPr>
          <w:rFonts w:hAnsi="Times New Roman"/>
          <w:sz w:val="18"/>
          <w:szCs w:val="18"/>
        </w:rPr>
        <w:t xml:space="preserve"> konu marka tescil numarası ile marka adının yer aldığı, rehin sözleşmesi veya rehin işlemini gösterir yetkili mercilerce onaylanmış belge veya noter tasdikli örnekleri, rehin sözleşmesi veya belgenin yabancı dilde olması halinde ilaveten yeminli tercüman tarafından onaylanmış Türkçe tercümesi.</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c) Ücretin ödendiğini gösterir bilgi veya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ç) Talep vekil aracılığıyla yapılmışsa 9 uncu maddeye uygun olarak düzenlenmiş </w:t>
      </w:r>
      <w:proofErr w:type="gramStart"/>
      <w:r>
        <w:rPr>
          <w:rFonts w:hAnsi="Times New Roman"/>
          <w:sz w:val="18"/>
          <w:szCs w:val="18"/>
        </w:rPr>
        <w:t>vekaletname</w:t>
      </w:r>
      <w:proofErr w:type="gramEnd"/>
      <w:r>
        <w:rPr>
          <w:rFonts w:hAnsi="Times New Roman"/>
          <w:sz w:val="18"/>
          <w:szCs w:val="18"/>
        </w:rPr>
        <w:t>.”</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Aynı Yönetmeliğin 24 üncü maddesinin ikinci fıkrasının (b) ve (c) bentleri ile dördüncü fıkrası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 Ücretin ödendiğini gösterir bilgi veya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c) Talep vekil aracılığıyla yapılmışsa 9 uncu maddeye uygun olarak düzenlenmiş </w:t>
      </w:r>
      <w:proofErr w:type="gramStart"/>
      <w:r>
        <w:rPr>
          <w:rFonts w:hAnsi="Times New Roman"/>
          <w:sz w:val="18"/>
          <w:szCs w:val="18"/>
        </w:rPr>
        <w:t>vekaletname</w:t>
      </w:r>
      <w:proofErr w:type="gramEnd"/>
      <w:r>
        <w:rPr>
          <w:rFonts w:hAnsi="Times New Roman"/>
          <w:sz w:val="18"/>
          <w:szCs w:val="18"/>
        </w:rPr>
        <w:t>.”</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“Düzeltmenin aynı kişiye ait birden fazla başvuru veya tescil ile ilgili olduğu durumlarda, hatanın ve talep edilen düzeltmenin her bir başvuru ve tescil için aynı olması koşuluyla tek bir talep yapılması ve tek bir ücret ödenmesi yeterlidir.”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Aynı Yönetmeliğin 25 inci maddesinin birinci fıkrasının (e) bendi yürürlükten kaldırılmıştır.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Aynı Yönetmeliğin 26 </w:t>
      </w:r>
      <w:proofErr w:type="spellStart"/>
      <w:r>
        <w:rPr>
          <w:rFonts w:hAnsi="Times New Roman"/>
          <w:sz w:val="18"/>
          <w:szCs w:val="18"/>
        </w:rPr>
        <w:t>ncı</w:t>
      </w:r>
      <w:proofErr w:type="spellEnd"/>
      <w:r>
        <w:rPr>
          <w:rFonts w:hAnsi="Times New Roman"/>
          <w:sz w:val="18"/>
          <w:szCs w:val="18"/>
        </w:rPr>
        <w:t xml:space="preserve"> maddesinin birinci fıkrasının (e) bendi yürürlükten kaldırılmıştır.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Aynı Yönetmeliğin 28 inci maddesinin ikinci fıkrasının (b) ve (c) bentleri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“b) Ücretin ödendiğini gösterir bilgi veya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c) Talep vekil aracılığıyla yapılmışsa 9 uncu maddeye uygun olarak düzenlenmiş </w:t>
      </w:r>
      <w:proofErr w:type="gramStart"/>
      <w:r>
        <w:rPr>
          <w:rFonts w:hAnsi="Times New Roman"/>
          <w:sz w:val="18"/>
          <w:szCs w:val="18"/>
        </w:rPr>
        <w:t>vekaletname</w:t>
      </w:r>
      <w:proofErr w:type="gramEnd"/>
      <w:r>
        <w:rPr>
          <w:rFonts w:hAnsi="Times New Roman"/>
          <w:sz w:val="18"/>
          <w:szCs w:val="18"/>
        </w:rPr>
        <w:t>.”</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Aynı Yönetmeliğin 31 inci maddesi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Kanun Hükmünde Kararnamenin 25 inci ve 26 </w:t>
      </w:r>
      <w:proofErr w:type="spellStart"/>
      <w:r>
        <w:rPr>
          <w:rFonts w:hAnsi="Times New Roman"/>
          <w:sz w:val="18"/>
          <w:szCs w:val="18"/>
        </w:rPr>
        <w:t>ncı</w:t>
      </w:r>
      <w:proofErr w:type="spellEnd"/>
      <w:r>
        <w:rPr>
          <w:rFonts w:hAnsi="Times New Roman"/>
          <w:sz w:val="18"/>
          <w:szCs w:val="18"/>
        </w:rPr>
        <w:t xml:space="preserve"> maddeleri ve bu Yönetmeliğin 8 inci maddesi hükümleri uyarınca talep edilen rüçhan hakkının Enstitüce uygun bulunması halinde, marka tescil belgesinde ve sicilde rüçhan hakkına ilişkin bilgiye yer verilir.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Türkiye’de usulüne uygun olarak yapılmış marka tescil başvurusuna dayanarak talep edilen Rüçhan Hakkı Belgesi, düzenleme ücretinin ödendiğini gösterir bilgi veya belgenin Enstitüye sunulması koşuluyla, talep sahibine verilir.”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21 – </w:t>
      </w:r>
      <w:r>
        <w:rPr>
          <w:rFonts w:hAnsi="Times New Roman"/>
          <w:sz w:val="18"/>
          <w:szCs w:val="18"/>
        </w:rPr>
        <w:t>Aynı Yönetmeliğin 33 üncü maddesinin birinci fıkrasında geçen “maddede” ibaresi “maddesinde” olarak değiştirilmiş, aynı fıkranın (c) ve (d) bentleri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“c) Ücretin ödendiğini gösterir bilgi veya belge,</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 xml:space="preserve">d) Talep vekil aracılığıyla yapılmışsa 9 uncu maddeye uygun olarak düzenlenmiş </w:t>
      </w:r>
      <w:proofErr w:type="gramStart"/>
      <w:r>
        <w:rPr>
          <w:rFonts w:hAnsi="Times New Roman"/>
          <w:sz w:val="18"/>
          <w:szCs w:val="18"/>
        </w:rPr>
        <w:t>vekaletname</w:t>
      </w:r>
      <w:proofErr w:type="gramEnd"/>
      <w:r>
        <w:rPr>
          <w:rFonts w:hAnsi="Times New Roman"/>
          <w:sz w:val="18"/>
          <w:szCs w:val="18"/>
        </w:rPr>
        <w:t>.”</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Aynı Yönetmeliğin 34 üncü maddesinin birinci fıkrası aşağıdaki şekilde değiştirilmiş ve ikinci fıkrası yürürlükten kaldırılmıştır.</w:t>
      </w:r>
    </w:p>
    <w:p w:rsidR="00C3688A" w:rsidRDefault="00C3688A" w:rsidP="00C3688A">
      <w:pPr>
        <w:pStyle w:val="3-NormalYaz"/>
        <w:spacing w:line="240" w:lineRule="exact"/>
        <w:ind w:firstLine="566"/>
        <w:rPr>
          <w:rFonts w:hAnsi="Times New Roman"/>
          <w:sz w:val="18"/>
          <w:szCs w:val="18"/>
        </w:rPr>
      </w:pPr>
      <w:proofErr w:type="gramStart"/>
      <w:r>
        <w:rPr>
          <w:rFonts w:hAnsi="Times New Roman"/>
          <w:sz w:val="18"/>
          <w:szCs w:val="18"/>
        </w:rPr>
        <w:lastRenderedPageBreak/>
        <w:t xml:space="preserve">“Tescil başvurusu yapılmış bir markanın, Kanun Hükmünde Kararnamenin 7 </w:t>
      </w:r>
      <w:proofErr w:type="spellStart"/>
      <w:r>
        <w:rPr>
          <w:rFonts w:hAnsi="Times New Roman"/>
          <w:sz w:val="18"/>
          <w:szCs w:val="18"/>
        </w:rPr>
        <w:t>nci</w:t>
      </w:r>
      <w:proofErr w:type="spellEnd"/>
      <w:r>
        <w:rPr>
          <w:rFonts w:hAnsi="Times New Roman"/>
          <w:sz w:val="18"/>
          <w:szCs w:val="18"/>
        </w:rPr>
        <w:t xml:space="preserve"> ve 8 inci maddeleri hükümlerine göre tescil edilmemesi gerektiğine ilişkin itirazlar ile başvurunun kötü niyetle yapıldığına ilişkin itirazlar marka başvurusunun yayımından itibaren 3 ay içerisinde ilgili kişilerce Enstitü tarafından duyurulan Marka Yayına İtiraz Formu örneğine uygun olarak hazırlanmış imzalı dilekçe ile yapılır. </w:t>
      </w:r>
      <w:proofErr w:type="gramEnd"/>
      <w:r>
        <w:rPr>
          <w:rFonts w:hAnsi="Times New Roman"/>
          <w:sz w:val="18"/>
          <w:szCs w:val="18"/>
        </w:rPr>
        <w:t>Enstitü, itiraz sahibinden, 1 ay içerisinde gönderilmek üzere ek belge ile kanıt ve gerekçelerle ilgili açıklamalar isteyebilir.”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 xml:space="preserve">Aynı Yönetmeliğin 36 </w:t>
      </w:r>
      <w:proofErr w:type="spellStart"/>
      <w:r>
        <w:rPr>
          <w:rFonts w:hAnsi="Times New Roman"/>
          <w:sz w:val="18"/>
          <w:szCs w:val="18"/>
        </w:rPr>
        <w:t>ncı</w:t>
      </w:r>
      <w:proofErr w:type="spellEnd"/>
      <w:r>
        <w:rPr>
          <w:rFonts w:hAnsi="Times New Roman"/>
          <w:sz w:val="18"/>
          <w:szCs w:val="18"/>
        </w:rPr>
        <w:t xml:space="preserve"> maddesinin ikinci fıkrasına “belge” ibaresinden önce gelmek üzere “bilgi veya” ibaresi eklenmiş, üçüncü fıkranın son cümlesi aşağıdaki şekilde değiştirilmiş ve aynı maddeye aşağıdaki dördüncü fıkra eklenmiştir.</w:t>
      </w:r>
    </w:p>
    <w:p w:rsidR="00C3688A" w:rsidRDefault="00C3688A" w:rsidP="00C3688A">
      <w:pPr>
        <w:pStyle w:val="3-NormalYaz"/>
        <w:spacing w:line="240" w:lineRule="exact"/>
        <w:rPr>
          <w:rFonts w:hAnsi="Times New Roman"/>
          <w:sz w:val="18"/>
          <w:szCs w:val="18"/>
        </w:rPr>
      </w:pPr>
      <w:r>
        <w:rPr>
          <w:rFonts w:hAnsi="Times New Roman"/>
          <w:sz w:val="18"/>
          <w:szCs w:val="18"/>
        </w:rPr>
        <w:t>“34 üncü ve 35 inci maddelerde belirtilen süreler içerisinde itiraz ücretinin ödendiğini gösterir bilgi veya belgenin Enstitüye sunulmaması halinde itiraz yapılmamış sayılır.”</w:t>
      </w:r>
    </w:p>
    <w:p w:rsidR="00C3688A" w:rsidRDefault="00C3688A" w:rsidP="00C3688A">
      <w:pPr>
        <w:pStyle w:val="3-NormalYaz"/>
        <w:spacing w:line="240" w:lineRule="exact"/>
        <w:ind w:firstLine="566"/>
        <w:rPr>
          <w:rFonts w:hAnsi="Times New Roman"/>
          <w:sz w:val="18"/>
          <w:szCs w:val="18"/>
        </w:rPr>
      </w:pPr>
      <w:r>
        <w:rPr>
          <w:rFonts w:hAnsi="Times New Roman"/>
          <w:sz w:val="18"/>
          <w:szCs w:val="18"/>
        </w:rPr>
        <w:t>“İtirazlarda gerekçeler ilgili mevzuattaki madde ve fıkra karşılıkları da belirtilmek üzere ayrıntılı olarak yazılır. İtiraz süresi sona erdikten sonra süresinde yapılmış itirazın kapsamını değiştirecek veya genişletecek mahiyette yeni itiraz gerekçeleri ve bunlara ilişkin yeni bilgi ve belgeler sunulamaz, sunulsa da Enstitüce dikkate alınmaz. Ancak itiraz dilekçesinde öne sürülen görüş, iddia ve gerekçeleri desteklemek amacıyla ek bilgi ve belgeler Enstitüye sunulabilir.”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24 – </w:t>
      </w:r>
      <w:r>
        <w:rPr>
          <w:rFonts w:hAnsi="Times New Roman"/>
          <w:sz w:val="18"/>
          <w:szCs w:val="18"/>
        </w:rPr>
        <w:t>Aynı Yönetmeliğin 39 uncu maddesi aşağıdaki şekilde değiştirilmiştir.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“MADDE 39 –</w:t>
      </w:r>
      <w:r>
        <w:rPr>
          <w:rFonts w:hAnsi="Times New Roman"/>
          <w:sz w:val="18"/>
          <w:szCs w:val="18"/>
        </w:rPr>
        <w:t xml:space="preserve"> Enstitünün marka tescil başvuruları ile ilgili tek taraflı işlemlerde aldığı karara yapılan itiraz ücreti, itiraz kabul edildiği takdirde, Tebliğde yer alması kaydıyla marka tescil belgesi düzenleme ücretine mahsup edilir veya talep üzerine başvuru sahibine iade edilir. Enstitünün bu itirazlar için almış olduğu itirazın kısmen kabulü kararlarında mahsup ya da iade işlemi yapılmaz. </w:t>
      </w:r>
      <w:proofErr w:type="gramStart"/>
      <w:r>
        <w:rPr>
          <w:rFonts w:hAnsi="Times New Roman"/>
          <w:sz w:val="18"/>
          <w:szCs w:val="18"/>
        </w:rPr>
        <w:t xml:space="preserve">Ayrıca Kanun Hükmünde Kararnamenin 7 </w:t>
      </w:r>
      <w:proofErr w:type="spellStart"/>
      <w:r>
        <w:rPr>
          <w:rFonts w:hAnsi="Times New Roman"/>
          <w:sz w:val="18"/>
          <w:szCs w:val="18"/>
        </w:rPr>
        <w:t>nci</w:t>
      </w:r>
      <w:proofErr w:type="spellEnd"/>
      <w:r>
        <w:rPr>
          <w:rFonts w:hAnsi="Times New Roman"/>
          <w:sz w:val="18"/>
          <w:szCs w:val="18"/>
        </w:rPr>
        <w:t xml:space="preserve"> maddesinin birinci fıkrasının (b) bendi kapsamında alınmış bir ret kararının, ret gerekçesinin itirazın incelendiği tarihte hükümden düşmüş olması veya ret konusu ya da gerekçesi markaya veya başvuruya ilişkin devir, adres, nevi, unvan değişikliği sebepleriyle kaldırılması veya Kanun Hükmünde Kararnamenin 7 </w:t>
      </w:r>
      <w:proofErr w:type="spellStart"/>
      <w:r>
        <w:rPr>
          <w:rFonts w:hAnsi="Times New Roman"/>
          <w:sz w:val="18"/>
          <w:szCs w:val="18"/>
        </w:rPr>
        <w:t>nci</w:t>
      </w:r>
      <w:proofErr w:type="spellEnd"/>
      <w:r>
        <w:rPr>
          <w:rFonts w:hAnsi="Times New Roman"/>
          <w:sz w:val="18"/>
          <w:szCs w:val="18"/>
        </w:rPr>
        <w:t xml:space="preserve"> maddesinin 2 </w:t>
      </w:r>
      <w:proofErr w:type="spellStart"/>
      <w:r>
        <w:rPr>
          <w:rFonts w:hAnsi="Times New Roman"/>
          <w:sz w:val="18"/>
          <w:szCs w:val="18"/>
        </w:rPr>
        <w:t>nci</w:t>
      </w:r>
      <w:proofErr w:type="spellEnd"/>
      <w:r>
        <w:rPr>
          <w:rFonts w:hAnsi="Times New Roman"/>
          <w:sz w:val="18"/>
          <w:szCs w:val="18"/>
        </w:rPr>
        <w:t xml:space="preserve"> fıkrası kapsamında “kullanıma dayalı ayırt edicilik iddiasının kabulü” sonucunda kaldırılması durumlarında da mahsup ya da iade işlemi yapılmaz.”</w:t>
      </w:r>
      <w:proofErr w:type="gramEnd"/>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25 – </w:t>
      </w:r>
      <w:r>
        <w:rPr>
          <w:rFonts w:hAnsi="Times New Roman"/>
          <w:sz w:val="18"/>
          <w:szCs w:val="18"/>
        </w:rPr>
        <w:t>Aynı Yönetmeliğin geçici 1 inci maddesi yürürlükten kaldırılmıştır.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26 – </w:t>
      </w:r>
      <w:r>
        <w:rPr>
          <w:rFonts w:hAnsi="Times New Roman"/>
          <w:sz w:val="18"/>
          <w:szCs w:val="18"/>
        </w:rPr>
        <w:t>Bu Yönetmelik yayımı tarihinde yürürlüğe girer.</w:t>
      </w:r>
    </w:p>
    <w:p w:rsidR="00C3688A" w:rsidRDefault="00C3688A" w:rsidP="00C3688A">
      <w:pPr>
        <w:pStyle w:val="3-NormalYaz"/>
        <w:spacing w:line="240" w:lineRule="exact"/>
        <w:ind w:firstLine="566"/>
        <w:rPr>
          <w:rFonts w:hAnsi="Times New Roman"/>
          <w:sz w:val="18"/>
          <w:szCs w:val="18"/>
        </w:rPr>
      </w:pPr>
      <w:r>
        <w:rPr>
          <w:rFonts w:hAnsi="Times New Roman"/>
          <w:b/>
          <w:sz w:val="18"/>
          <w:szCs w:val="18"/>
        </w:rPr>
        <w:t xml:space="preserve">MADDE 27 – </w:t>
      </w:r>
      <w:r>
        <w:rPr>
          <w:rFonts w:hAnsi="Times New Roman"/>
          <w:sz w:val="18"/>
          <w:szCs w:val="18"/>
        </w:rPr>
        <w:t>Bu Yönetmelik hükümlerini Türk Patent Enstitüsü Başkanı yürütür.</w:t>
      </w:r>
    </w:p>
    <w:p w:rsidR="00C3688A" w:rsidRDefault="00C3688A" w:rsidP="00C3688A">
      <w:pPr>
        <w:pStyle w:val="NormalWeb"/>
        <w:jc w:val="center"/>
        <w:rPr>
          <w:rFonts w:ascii="Arial" w:hAnsi="Arial" w:cs="Arial"/>
          <w:b/>
          <w:color w:val="000080"/>
          <w:sz w:val="18"/>
          <w:szCs w:val="18"/>
        </w:rPr>
      </w:pPr>
    </w:p>
    <w:p w:rsidR="00C3688A" w:rsidRDefault="00C3688A" w:rsidP="00681E0A">
      <w:pPr>
        <w:spacing w:after="0" w:line="280" w:lineRule="atLeast"/>
        <w:rPr>
          <w:rFonts w:ascii="Times New Roman" w:hAnsi="Times New Roman" w:cs="Times New Roman"/>
          <w:b/>
          <w:sz w:val="20"/>
          <w:szCs w:val="20"/>
          <w:u w:val="single"/>
        </w:rPr>
      </w:pPr>
    </w:p>
    <w:sectPr w:rsidR="00C3688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71DF7"/>
    <w:rsid w:val="00173570"/>
    <w:rsid w:val="00174FC7"/>
    <w:rsid w:val="00190AD2"/>
    <w:rsid w:val="00192895"/>
    <w:rsid w:val="001A0BF3"/>
    <w:rsid w:val="001A3B7D"/>
    <w:rsid w:val="001A57F0"/>
    <w:rsid w:val="001F4F88"/>
    <w:rsid w:val="001F610D"/>
    <w:rsid w:val="002178E4"/>
    <w:rsid w:val="00226FDD"/>
    <w:rsid w:val="00230137"/>
    <w:rsid w:val="002321A3"/>
    <w:rsid w:val="002344DB"/>
    <w:rsid w:val="00250F87"/>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B52F5"/>
    <w:rsid w:val="004D6CD7"/>
    <w:rsid w:val="004E1C0B"/>
    <w:rsid w:val="00510570"/>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A01BE"/>
    <w:rsid w:val="009B6B6A"/>
    <w:rsid w:val="009D1064"/>
    <w:rsid w:val="009F1AA3"/>
    <w:rsid w:val="009F2D7D"/>
    <w:rsid w:val="00A01D20"/>
    <w:rsid w:val="00A26545"/>
    <w:rsid w:val="00A56163"/>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8184E"/>
    <w:rsid w:val="00B86757"/>
    <w:rsid w:val="00BB6F50"/>
    <w:rsid w:val="00BC163D"/>
    <w:rsid w:val="00BE08E0"/>
    <w:rsid w:val="00BF1681"/>
    <w:rsid w:val="00BF2824"/>
    <w:rsid w:val="00BF3772"/>
    <w:rsid w:val="00BF697B"/>
    <w:rsid w:val="00C25A1D"/>
    <w:rsid w:val="00C32D12"/>
    <w:rsid w:val="00C32E46"/>
    <w:rsid w:val="00C3688A"/>
    <w:rsid w:val="00C524D2"/>
    <w:rsid w:val="00CA3F82"/>
    <w:rsid w:val="00CA6EEC"/>
    <w:rsid w:val="00CB2C30"/>
    <w:rsid w:val="00CC0481"/>
    <w:rsid w:val="00CE5503"/>
    <w:rsid w:val="00CE72C5"/>
    <w:rsid w:val="00CF7B26"/>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3411</Words>
  <Characters>19445</Characters>
  <Application>Microsoft Office Word</Application>
  <DocSecurity>0</DocSecurity>
  <Lines>162</Lines>
  <Paragraphs>45</Paragraphs>
  <ScaleCrop>false</ScaleCrop>
  <Company>TURMOB</Company>
  <LinksUpToDate>false</LinksUpToDate>
  <CharactersWithSpaces>22811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204</cp:revision>
  <cp:lastPrinted>2013-01-07T06:33:00Z</cp:lastPrinted>
  <dcterms:created xsi:type="dcterms:W3CDTF">2013-01-02T06:53:00Z</dcterms:created>
  <dcterms:modified xsi:type="dcterms:W3CDTF">2013-04-01T05:37:00Z</dcterms:modified>
</cp:coreProperties>
</file>