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1C2724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28614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C2724" w:rsidRDefault="001C2724" w:rsidP="001C2724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Ekonomi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1C2724" w:rsidRDefault="001C2724" w:rsidP="001C2724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YURT 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TEAHH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VE TEKN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1C2724" w:rsidRDefault="001C2724" w:rsidP="001C272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H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ZMETLER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KAPSAMINDA YAPILACAK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HRACAT</w:t>
      </w:r>
    </w:p>
    <w:p w:rsidR="001C2724" w:rsidRDefault="001C2724" w:rsidP="001C272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THALATA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TEBL</w:t>
      </w:r>
      <w:r>
        <w:rPr>
          <w:sz w:val="18"/>
          <w:szCs w:val="18"/>
        </w:rPr>
        <w:t>İĞ</w:t>
      </w:r>
    </w:p>
    <w:p w:rsidR="001C2724" w:rsidRDefault="001C2724" w:rsidP="001C2724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(SERBEST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LGELER: 2013/1)</w:t>
      </w:r>
    </w:p>
    <w:p w:rsidR="001C2724" w:rsidRDefault="001C2724" w:rsidP="001C272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C2724" w:rsidRDefault="001C2724" w:rsidP="001C2724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teahhitlik</w:t>
      </w:r>
      <w:proofErr w:type="gramEnd"/>
      <w:r>
        <w:rPr>
          <w:sz w:val="18"/>
          <w:szCs w:val="18"/>
        </w:rPr>
        <w:t xml:space="preserve"> ve teknik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 hizmetleri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ihracat ile kesin ithalat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aat, tesisat, montaj,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hendislik, proje,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gibi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lerle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 kapsar.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; </w:t>
      </w:r>
      <w:proofErr w:type="gramStart"/>
      <w:r>
        <w:rPr>
          <w:sz w:val="18"/>
          <w:szCs w:val="18"/>
        </w:rPr>
        <w:t>22/12/1995</w:t>
      </w:r>
      <w:proofErr w:type="gramEnd"/>
      <w:r>
        <w:rPr>
          <w:sz w:val="18"/>
          <w:szCs w:val="18"/>
        </w:rPr>
        <w:t xml:space="preserve"> tarihli ve 95/7623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konulan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hracat Rejimi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20/12/1995 tarihli ve 95/7606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konulan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thalat Rejimi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Ekonomi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b)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Sistemi: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u/yetki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lkelerde,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ve izin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elektronik ortamda yerine getirilmesi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resmi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(www.</w:t>
      </w:r>
      <w:proofErr w:type="spellStart"/>
      <w:r>
        <w:rPr>
          <w:sz w:val="18"/>
          <w:szCs w:val="18"/>
        </w:rPr>
        <w:t>ydmh</w:t>
      </w:r>
      <w:proofErr w:type="spellEnd"/>
      <w:r>
        <w:rPr>
          <w:sz w:val="18"/>
          <w:szCs w:val="18"/>
        </w:rPr>
        <w:t>.gov.tr) yer alan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teahhitlik ve Teknik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 Hizmetleri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hracat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thalata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Sistemi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web tabanl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proofErr w:type="gramEnd"/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Firma: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vatanda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veya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</w:t>
      </w:r>
      <w:proofErr w:type="gramStart"/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teahhitlik</w:t>
      </w:r>
      <w:proofErr w:type="gramEnd"/>
      <w:r>
        <w:rPr>
          <w:sz w:val="18"/>
          <w:szCs w:val="18"/>
        </w:rPr>
        <w:t xml:space="preserve"> ve teknik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kurulan ticaret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s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k: Serbest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lgeler,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Hizmetler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Sistemi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onaylanan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/yetki sahibi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konsolosluklarca/b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ilik konsolosluk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ubelerince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belgeyi,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Uzatma Belgesi: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/yetki sahibi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yerlerde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konsolosluklarca/b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ilik konsolosluk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ubelerince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belgeyi,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1C2724" w:rsidRDefault="001C2724" w:rsidP="001C2724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C2724" w:rsidRDefault="001C2724" w:rsidP="001C272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u/Yetki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</w:t>
      </w:r>
    </w:p>
    <w:p w:rsidR="001C2724" w:rsidRDefault="001C2724" w:rsidP="001C2724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Ü</w:t>
      </w:r>
      <w:r>
        <w:rPr>
          <w:sz w:val="18"/>
          <w:szCs w:val="18"/>
        </w:rPr>
        <w:t>lkelerden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belgesi onay</w:t>
      </w:r>
      <w:r>
        <w:rPr>
          <w:b/>
          <w:sz w:val="18"/>
          <w:szCs w:val="18"/>
        </w:rPr>
        <w:t>ı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u/yetki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lkelerde, firmalar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</w:t>
      </w:r>
      <w:proofErr w:type="gramStart"/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teahhitlik</w:t>
      </w:r>
      <w:proofErr w:type="gramEnd"/>
      <w:r>
        <w:rPr>
          <w:sz w:val="18"/>
          <w:szCs w:val="18"/>
        </w:rPr>
        <w:t xml:space="preserve"> ve teknik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 hizmet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stlendikleri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 onay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lemleri;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Sistemi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geriye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olarak en fazla bir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ile firma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imza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teahhitlik</w:t>
      </w:r>
      <w:proofErr w:type="gramEnd"/>
      <w:r>
        <w:rPr>
          <w:sz w:val="18"/>
          <w:szCs w:val="18"/>
        </w:rPr>
        <w:t xml:space="preserve"> ve/veya teknik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 hizmet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noter tasdikli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onay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Sistemi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doldurulan ve kayda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Belgesinin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elektronik ortamda onaylanmas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Talep halinde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belgenin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onaylat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hizmet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tamamlanm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teahhitlik</w:t>
      </w:r>
      <w:proofErr w:type="gram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tamamland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tespit etmek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mahallinde denetim yapabilir.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Firmalar,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talep edilen ilave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bilgi ve belgeleri sunmakla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belgesi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 uzat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ı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u/yetki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lkelerde, hizmet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hilinde, firma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tlerin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sebeplerle ve/veya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lastRenderedPageBreak/>
        <w:t>durdurulmas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hallerinde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Sistemi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ihracat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vurular</w:t>
      </w:r>
      <w:r>
        <w:rPr>
          <w:b/>
          <w:sz w:val="18"/>
          <w:szCs w:val="18"/>
        </w:rPr>
        <w:t>ı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veya yetki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lkelerde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stlenilen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lerle ilgili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makine,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hizat veya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ihracat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vurular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stlenilen projede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 malzemeleri veya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ilerin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maddelerinin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ihracat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vurular;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Sistemi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ncesinde,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Sistemi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zerinden doldurulan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Belgesinin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elektronik ortamda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Sistemi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ait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menin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Firman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ticaret sicili gazetesinin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varsa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metinlerinin noter veya ticaret memurlu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tasdikli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Ticaret veya sanayi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belgesi ile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noter tasdikli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Firman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Vergi Dairesinden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nacak,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kellefiyet Durum Belgesi,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elektronik</w:t>
      </w:r>
      <w:proofErr w:type="gramEnd"/>
      <w:r>
        <w:rPr>
          <w:sz w:val="18"/>
          <w:szCs w:val="18"/>
        </w:rPr>
        <w:t xml:space="preserve"> ortamda sisteme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Bu belgelerin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Sistemi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formdan iki adet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sha, bir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eye eklenerek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tarihini takip eden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ekinde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sunulur.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belgelerde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herhangi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firma,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 ilgili belgelerle birlikte,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Nihai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kesin ihrac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mallar ile ilgili olarak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hracat Rejimi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ihracatta ek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 talepleri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yapan firmalar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stlendikleri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 kullanmak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ettikleri makine,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hizat ve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belirlenir.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u/yetki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yapan firmalar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stlendikleri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 kullanmak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ettikleri makine,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hizat ve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firmaya verilen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izin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resinin bitiminden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ihracatta 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talebine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vurular;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Sistemi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ihracatta aktarma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u/yetki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edilen makine,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hizat ve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yurda geri getirilmeksizin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projede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aktarma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ncesinde, aktarma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projenin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Sistemi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 doldurulan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Belgesinin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elektronik ortamda onaylanmas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vurular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izin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olarak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u/yetki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yerlerden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aktarma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Sistemi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ihracatta sat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 xml:space="preserve">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u/yetki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lkelerde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edilen makine,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hizat ve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na,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verilen izin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bitiminden 15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izin verilebilir.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u/yetki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Sistemi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Kesin ithalat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vurular</w:t>
      </w:r>
      <w:r>
        <w:rPr>
          <w:b/>
          <w:sz w:val="18"/>
          <w:szCs w:val="18"/>
        </w:rPr>
        <w:t>ı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u/yetki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lkelerde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stlenilen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aat, tesisat, montaj,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hendislik, proje,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gibi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lerle ilgili olarak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makine ve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hizat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kesin ithalat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vurular,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Sistemi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Sistemi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Yurda kesin ithalat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makine ve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hizata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Ek-4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Firman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ticaret sicili gazetesinin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varsa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metinlerinin noter veya ticaret memurlu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tasdikli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Ticaret veya sanayi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belgesi ile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noter tasdikli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 ilgili makine ve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hizata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faturalar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 makine </w:t>
      </w:r>
      <w:proofErr w:type="gramStart"/>
      <w:r>
        <w:rPr>
          <w:sz w:val="18"/>
          <w:szCs w:val="18"/>
        </w:rPr>
        <w:t>envanterinin</w:t>
      </w:r>
      <w:proofErr w:type="gramEnd"/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elektronik</w:t>
      </w:r>
      <w:proofErr w:type="gramEnd"/>
      <w:r>
        <w:rPr>
          <w:sz w:val="18"/>
          <w:szCs w:val="18"/>
        </w:rPr>
        <w:t xml:space="preserve"> ortamda sisteme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kradaki belgelerin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Sistemi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formdan iki adet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sha, bir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eye eklenerek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tarihini takip eden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sunulur.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belgelerde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herhangi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firma,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iklikleri, ilgili belgelerle birlikte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bildirir.</w:t>
      </w:r>
    </w:p>
    <w:p w:rsidR="001C2724" w:rsidRDefault="001C2724" w:rsidP="001C2724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C2724" w:rsidRDefault="001C2724" w:rsidP="001C272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/Yetki Sahibi Olmad</w:t>
      </w:r>
      <w:r>
        <w:rPr>
          <w:sz w:val="18"/>
          <w:szCs w:val="18"/>
        </w:rPr>
        <w:t>ığı</w:t>
      </w:r>
    </w:p>
    <w:p w:rsidR="001C2724" w:rsidRDefault="001C2724" w:rsidP="001C2724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Ü</w:t>
      </w:r>
      <w:r>
        <w:rPr>
          <w:sz w:val="18"/>
          <w:szCs w:val="18"/>
        </w:rPr>
        <w:t>lkelerden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uzatma belgesi onaylar</w:t>
      </w:r>
      <w:r>
        <w:rPr>
          <w:b/>
          <w:sz w:val="18"/>
          <w:szCs w:val="18"/>
        </w:rPr>
        <w:t>ı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/yetki sahibi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konsolosluklara/b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ilik konsolosluk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ubelerine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lerinde tatbiki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 temsil ve ilzama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yetki belgesi sahibi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i(</w:t>
      </w:r>
      <w:proofErr w:type="spellStart"/>
      <w:r>
        <w:rPr>
          <w:sz w:val="18"/>
          <w:szCs w:val="18"/>
        </w:rPr>
        <w:t>ler</w:t>
      </w:r>
      <w:proofErr w:type="spellEnd"/>
      <w:r>
        <w:rPr>
          <w:sz w:val="18"/>
          <w:szCs w:val="18"/>
        </w:rPr>
        <w:t>)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konsolosluklara/b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ilik konsolosluk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ubelerine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geriye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olarak en fazla bir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ile firma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imza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teahhitlik</w:t>
      </w:r>
      <w:proofErr w:type="gramEnd"/>
      <w:r>
        <w:rPr>
          <w:sz w:val="18"/>
          <w:szCs w:val="18"/>
        </w:rPr>
        <w:t xml:space="preserve"> ve/veya teknik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 hizmet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noter tasdikli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 sunulur.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(3)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/yetki sahibi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konsolosluklara/b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ilik konsolosluk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taleplerinde,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Belgesinin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tevsik edici bilgi/belgelerin (yeni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ve/veya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belge)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konsolosluklara/b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ilik konsolosluk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ubelerine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teakip,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Uzatma Belgesi, ilave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 ilave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bedeli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 suretiyle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  <w:proofErr w:type="gramEnd"/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ihracat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vurular</w:t>
      </w:r>
      <w:r>
        <w:rPr>
          <w:b/>
          <w:sz w:val="18"/>
          <w:szCs w:val="18"/>
        </w:rPr>
        <w:t>ı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/yetki sahibi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lkelerde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stlenilen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lerle ilgili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makine,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hizat veya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ihracat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vurular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stlenilen projede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 malzemeleri veya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ilerin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maddelerinin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ihracat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vurular;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konsolosluklardan/b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ilik konsolosluk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noter tasdikli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Firman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ana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ticaret sicili gazetesinin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var ise tadil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noter veya ticaret memurlu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tasdikli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Ticaret veya sanayi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belgesi ile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noter tasdikli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doldurulacak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formdan 2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Firman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Vergi Dairesi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nacak,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kellefiyet Durum Belgesi,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bir</w:t>
      </w:r>
      <w:proofErr w:type="gramEnd"/>
      <w:r>
        <w:rPr>
          <w:sz w:val="18"/>
          <w:szCs w:val="18"/>
        </w:rPr>
        <w:t xml:space="preserve">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eye eklenerek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ihracatta ek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 talepleri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/yetki sahibi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yapan firmalar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stlendikleri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 kullanmak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ettikleri makine,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hizat ve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konsolosluklarca/b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ilik konsolosluk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ubelerince onaylanan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Uzatma Belgesi ile firmaya verilen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izin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resinin bitiminden </w:t>
      </w:r>
      <w:proofErr w:type="spellStart"/>
      <w:r>
        <w:rPr>
          <w:sz w:val="18"/>
          <w:szCs w:val="18"/>
        </w:rPr>
        <w:t>onbe</w:t>
      </w:r>
      <w:r>
        <w:rPr>
          <w:sz w:val="18"/>
          <w:szCs w:val="18"/>
        </w:rPr>
        <w:t>ş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ihracatta aktarma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edilen makine,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hizat ve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yurda geri getirilmeksizin,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/yetki sahibi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projede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aktarma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aktarma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projeye ait,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konsolosluklarca/b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ilik konsolosluk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ubelerince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 ile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ihracatta sat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 xml:space="preserve">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/yetki sahibi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konsolosluklarca/b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ilik konsolosluk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Belgesine istinaden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Kesin ithalat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vurular</w:t>
      </w:r>
      <w:r>
        <w:rPr>
          <w:b/>
          <w:sz w:val="18"/>
          <w:szCs w:val="18"/>
        </w:rPr>
        <w:t>ı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/yetki sahibi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lkelerde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stlenilen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aat, tesisat, montaj,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hendislik, proje,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gibi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lerle ilgili olarak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makine veya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hizat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kesin ithalat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vurular;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Yurda kesin ithalat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makine ve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hizata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Ek-4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konsolosluklarca/b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ilik konsolosluk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ubelerince tasdik edilecek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formdan iki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konsolosluklardan/b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ilik konsolosluk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noter tasdikli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 ilgili makine ve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hizata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faturalar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 makine </w:t>
      </w:r>
      <w:proofErr w:type="gramStart"/>
      <w:r>
        <w:rPr>
          <w:sz w:val="18"/>
          <w:szCs w:val="18"/>
        </w:rPr>
        <w:t>envanterinin</w:t>
      </w:r>
      <w:proofErr w:type="gramEnd"/>
      <w:r>
        <w:rPr>
          <w:sz w:val="18"/>
          <w:szCs w:val="18"/>
        </w:rPr>
        <w:t xml:space="preserve"> konsolosluklarca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Firman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ana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ticaret sicili gazetesinin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var ise tadil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noter veya ticaret memurlu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tasdikli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Ticaret veya sanayi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belgesi ile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noter tasdikli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bir</w:t>
      </w:r>
      <w:proofErr w:type="gramEnd"/>
      <w:r>
        <w:rPr>
          <w:sz w:val="18"/>
          <w:szCs w:val="18"/>
        </w:rPr>
        <w:t xml:space="preserve">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eye eklenerek firmaya verilen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izin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resinin bitiminden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belgelerde,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herhangi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firma,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 ilgili belgelerle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bildirir.</w:t>
      </w:r>
    </w:p>
    <w:p w:rsidR="001C2724" w:rsidRDefault="001C2724" w:rsidP="001C2724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C2724" w:rsidRDefault="001C2724" w:rsidP="001C2724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cbir sebep ile zorunlu haller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tabii afet (deprem, sel ve benzeri),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salg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ihtilal, isyan,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 karga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a, ambargo, ekonomik ve siyasi krizler ve grev gibi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cbir sebeplerden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etkileyen kanuni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ve mevzuat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ikliklerine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an zorunlu haller nedeniyle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tamamlanamamas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ihracat izin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firma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ve durumun Ekonomi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/yetki sahibi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yerlerde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konsolosluklarca/b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ilik konsolosluk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ubelerince tevsik edilmesi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durdurulabilir.</w:t>
      </w:r>
      <w:proofErr w:type="gramEnd"/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Makine, te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hizat ve </w:t>
      </w:r>
      <w:proofErr w:type="gramStart"/>
      <w:r>
        <w:rPr>
          <w:b/>
          <w:sz w:val="18"/>
          <w:szCs w:val="18"/>
        </w:rPr>
        <w:t>ekipman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proofErr w:type="gramEnd"/>
      <w:r>
        <w:rPr>
          <w:b/>
          <w:sz w:val="18"/>
          <w:szCs w:val="18"/>
        </w:rPr>
        <w:t xml:space="preserve"> zarar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rmesi veya kamula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edilen makine,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hizat ve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kaza neticesinde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 hasar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veya kamula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nedenlerle yurda getirilmesine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hallerde, durumu belgeleyen resmi rapor ya da belgenin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konsolosluklarca/b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ilik konsolosluk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ubelerince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 ve yeminli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terc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mesinin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ile birlikte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edilen makine,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hizat ve ekipmana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durum, firma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ilgili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klerine bildirilir.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Bildirimler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Sistemi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bildirimler,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beyan edilen elektronik posta adresine iletilir.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mayan bildirimlerden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sorumlu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Kambiyo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firmalar kesin ihracat sonucunda elde edecekleri gelirlerle ilgili hususlarda Kambiyo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bidir.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Ayk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halleri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larak geri getirilen veya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sonunda getirilmeyen ya da kesin ihracata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yelik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ihracatta,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hracat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Birliklerine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 olma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tebli</w:t>
      </w:r>
      <w:r>
        <w:rPr>
          <w:b/>
          <w:sz w:val="18"/>
          <w:szCs w:val="18"/>
        </w:rPr>
        <w:t>ğ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4/4/2008</w:t>
      </w:r>
      <w:proofErr w:type="gramEnd"/>
      <w:r>
        <w:rPr>
          <w:sz w:val="18"/>
          <w:szCs w:val="18"/>
        </w:rPr>
        <w:t xml:space="preserve"> tarihli ve 26837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teahhitlik ve Teknik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 Hizmetleri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hracat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thalata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malar: 2008/1)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km</w:t>
      </w:r>
      <w:r>
        <w:rPr>
          <w:b/>
          <w:sz w:val="18"/>
          <w:szCs w:val="18"/>
        </w:rPr>
        <w:t>ü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girmesinden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ihracat,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aktarma,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kesin ithalat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ile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girmesinden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bulunan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Belgelerine dayal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teahhitlik ve Teknik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 Hizmetleri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hracat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thalata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malar: 2008/1)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1C2724" w:rsidRDefault="001C2724" w:rsidP="001C272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Ekonomi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1C2724" w:rsidRDefault="001C2724" w:rsidP="001C2724">
      <w:pPr>
        <w:pStyle w:val="3-NormalYaz"/>
        <w:spacing w:line="240" w:lineRule="exact"/>
        <w:ind w:firstLine="566"/>
        <w:rPr>
          <w:sz w:val="18"/>
          <w:szCs w:val="18"/>
        </w:rPr>
      </w:pPr>
    </w:p>
    <w:tbl>
      <w:tblPr>
        <w:tblW w:w="0" w:type="auto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1E0"/>
      </w:tblPr>
      <w:tblGrid>
        <w:gridCol w:w="2139"/>
        <w:gridCol w:w="2139"/>
        <w:gridCol w:w="2140"/>
        <w:gridCol w:w="2140"/>
      </w:tblGrid>
      <w:tr w:rsidR="001C2724">
        <w:tc>
          <w:tcPr>
            <w:tcW w:w="21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1C2724" w:rsidRDefault="001C2724">
            <w:pPr>
              <w:pStyle w:val="NormalWeb"/>
              <w:spacing w:line="240" w:lineRule="exact"/>
              <w:jc w:val="center"/>
              <w:rPr>
                <w:b/>
                <w:sz w:val="18"/>
                <w:szCs w:val="18"/>
              </w:rPr>
            </w:pPr>
            <w:hyperlink r:id="rId5" w:history="1">
              <w:r>
                <w:rPr>
                  <w:rStyle w:val="Kpr"/>
                  <w:b/>
                  <w:sz w:val="18"/>
                  <w:szCs w:val="18"/>
                  <w:u w:val="none"/>
                </w:rPr>
                <w:t>EK-1</w:t>
              </w:r>
            </w:hyperlink>
          </w:p>
        </w:tc>
        <w:tc>
          <w:tcPr>
            <w:tcW w:w="21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1C2724" w:rsidRDefault="001C2724">
            <w:pPr>
              <w:pStyle w:val="NormalWeb"/>
              <w:spacing w:line="240" w:lineRule="exact"/>
              <w:jc w:val="center"/>
              <w:rPr>
                <w:b/>
                <w:sz w:val="18"/>
                <w:szCs w:val="18"/>
              </w:rPr>
            </w:pPr>
            <w:hyperlink r:id="rId6" w:history="1">
              <w:r>
                <w:rPr>
                  <w:rStyle w:val="Kpr"/>
                  <w:b/>
                  <w:sz w:val="18"/>
                  <w:szCs w:val="18"/>
                  <w:u w:val="none"/>
                </w:rPr>
                <w:t>EK-2</w:t>
              </w:r>
            </w:hyperlink>
          </w:p>
        </w:tc>
        <w:tc>
          <w:tcPr>
            <w:tcW w:w="21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1C2724" w:rsidRDefault="001C2724">
            <w:pPr>
              <w:pStyle w:val="NormalWeb"/>
              <w:spacing w:line="240" w:lineRule="exact"/>
              <w:jc w:val="center"/>
              <w:rPr>
                <w:b/>
                <w:sz w:val="18"/>
                <w:szCs w:val="18"/>
              </w:rPr>
            </w:pPr>
            <w:hyperlink r:id="rId7" w:history="1">
              <w:r>
                <w:rPr>
                  <w:rStyle w:val="Kpr"/>
                  <w:b/>
                  <w:sz w:val="18"/>
                  <w:szCs w:val="18"/>
                  <w:u w:val="none"/>
                </w:rPr>
                <w:t>EK-3</w:t>
              </w:r>
            </w:hyperlink>
          </w:p>
        </w:tc>
        <w:tc>
          <w:tcPr>
            <w:tcW w:w="21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1C2724" w:rsidRDefault="001C2724">
            <w:pPr>
              <w:pStyle w:val="NormalWeb"/>
              <w:spacing w:line="240" w:lineRule="exact"/>
              <w:jc w:val="center"/>
              <w:rPr>
                <w:b/>
                <w:sz w:val="18"/>
                <w:szCs w:val="18"/>
              </w:rPr>
            </w:pPr>
            <w:hyperlink r:id="rId8" w:history="1">
              <w:r>
                <w:rPr>
                  <w:rStyle w:val="Kpr"/>
                  <w:b/>
                  <w:sz w:val="18"/>
                  <w:szCs w:val="18"/>
                  <w:u w:val="none"/>
                </w:rPr>
                <w:t>EK-4</w:t>
              </w:r>
            </w:hyperlink>
          </w:p>
        </w:tc>
      </w:tr>
    </w:tbl>
    <w:p w:rsidR="001C2724" w:rsidRDefault="001C2724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1C272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20BB8"/>
    <w:rsid w:val="00121400"/>
    <w:rsid w:val="001313A1"/>
    <w:rsid w:val="00133559"/>
    <w:rsid w:val="0015439C"/>
    <w:rsid w:val="00156500"/>
    <w:rsid w:val="00171DF7"/>
    <w:rsid w:val="00173570"/>
    <w:rsid w:val="00174FC7"/>
    <w:rsid w:val="00190AD2"/>
    <w:rsid w:val="00192895"/>
    <w:rsid w:val="001A0BF3"/>
    <w:rsid w:val="001A3B7D"/>
    <w:rsid w:val="001A57F0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542E"/>
    <w:rsid w:val="00255D66"/>
    <w:rsid w:val="002566FC"/>
    <w:rsid w:val="00261D6D"/>
    <w:rsid w:val="00293A69"/>
    <w:rsid w:val="002B4AF0"/>
    <w:rsid w:val="002E68E5"/>
    <w:rsid w:val="00317A78"/>
    <w:rsid w:val="00337C5F"/>
    <w:rsid w:val="00364757"/>
    <w:rsid w:val="0037350C"/>
    <w:rsid w:val="00376744"/>
    <w:rsid w:val="00383077"/>
    <w:rsid w:val="00397D65"/>
    <w:rsid w:val="003A71F5"/>
    <w:rsid w:val="003C0347"/>
    <w:rsid w:val="003C0BB4"/>
    <w:rsid w:val="003E11C0"/>
    <w:rsid w:val="003E7F80"/>
    <w:rsid w:val="003F1FF2"/>
    <w:rsid w:val="00401901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7F0B"/>
    <w:rsid w:val="005537FA"/>
    <w:rsid w:val="005603EC"/>
    <w:rsid w:val="0056277B"/>
    <w:rsid w:val="005A3F48"/>
    <w:rsid w:val="005B42A5"/>
    <w:rsid w:val="005D0BF1"/>
    <w:rsid w:val="005D4E02"/>
    <w:rsid w:val="005E2AE1"/>
    <w:rsid w:val="005E355C"/>
    <w:rsid w:val="005E4D72"/>
    <w:rsid w:val="005F4336"/>
    <w:rsid w:val="00601F8B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A01BE"/>
    <w:rsid w:val="009B6B6A"/>
    <w:rsid w:val="009D1064"/>
    <w:rsid w:val="009E1A19"/>
    <w:rsid w:val="009F1AA3"/>
    <w:rsid w:val="009F2D7D"/>
    <w:rsid w:val="009F3488"/>
    <w:rsid w:val="00A01D20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73F8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C25A1D"/>
    <w:rsid w:val="00C305CC"/>
    <w:rsid w:val="00C32D12"/>
    <w:rsid w:val="00C32E46"/>
    <w:rsid w:val="00C3688A"/>
    <w:rsid w:val="00C524D2"/>
    <w:rsid w:val="00C97C1B"/>
    <w:rsid w:val="00CA3F82"/>
    <w:rsid w:val="00CA6EEC"/>
    <w:rsid w:val="00CB2C30"/>
    <w:rsid w:val="00CC0481"/>
    <w:rsid w:val="00CE5503"/>
    <w:rsid w:val="00CE72C5"/>
    <w:rsid w:val="00CF7B26"/>
    <w:rsid w:val="00D02BDC"/>
    <w:rsid w:val="00D0464C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22A9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3/04/20130410-18-4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4/20130410-18-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migazete.gov.tr/eskiler/2013/04/20130410-18-2.doc" TargetMode="External"/><Relationship Id="rId5" Type="http://schemas.openxmlformats.org/officeDocument/2006/relationships/hyperlink" Target="http://www.resmigazete.gov.tr/eskiler/2013/04/20130410-18-1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2608</Words>
  <Characters>14868</Characters>
  <Application>Microsoft Office Word</Application>
  <DocSecurity>0</DocSecurity>
  <Lines>123</Lines>
  <Paragraphs>34</Paragraphs>
  <ScaleCrop>false</ScaleCrop>
  <Company>TURMOB</Company>
  <LinksUpToDate>false</LinksUpToDate>
  <CharactersWithSpaces>17442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234</cp:revision>
  <cp:lastPrinted>2013-01-07T06:33:00Z</cp:lastPrinted>
  <dcterms:created xsi:type="dcterms:W3CDTF">2013-01-02T06:53:00Z</dcterms:created>
  <dcterms:modified xsi:type="dcterms:W3CDTF">2013-04-10T05:37:00Z</dcterms:modified>
</cp:coreProperties>
</file>