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A10905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28616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10905" w:rsidRDefault="00A10905" w:rsidP="00A10905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A10905" w:rsidRDefault="00A10905" w:rsidP="00A10905">
      <w:pPr>
        <w:pStyle w:val="2-OrtaBaslk"/>
        <w:spacing w:before="56" w:after="170" w:line="240" w:lineRule="exact"/>
        <w:rPr>
          <w:sz w:val="18"/>
          <w:szCs w:val="18"/>
        </w:rPr>
      </w:pPr>
      <w:r>
        <w:rPr>
          <w:sz w:val="18"/>
          <w:szCs w:val="18"/>
        </w:rPr>
        <w:t>FINDIK 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SANSLI DEPO TEBL</w:t>
      </w:r>
      <w:r>
        <w:rPr>
          <w:sz w:val="18"/>
          <w:szCs w:val="18"/>
        </w:rPr>
        <w:t>İĞİ</w:t>
      </w:r>
    </w:p>
    <w:p w:rsidR="00A10905" w:rsidRDefault="00A10905" w:rsidP="00A109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belirlenen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emniyetli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ticaretinin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10905" w:rsidRDefault="00A10905" w:rsidP="00A109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asgari niteliklere ve depolama hizmetlerinin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ile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faaliyetlerine dair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A10905" w:rsidRDefault="00A10905" w:rsidP="00A109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10/2/2005</w:t>
      </w:r>
      <w:proofErr w:type="gramEnd"/>
      <w:r>
        <w:rPr>
          <w:sz w:val="18"/>
          <w:szCs w:val="18"/>
        </w:rPr>
        <w:t xml:space="preserve"> tarihli ve 5300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Kanunu ile 12/4/2013 tarihli ve 28616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10905" w:rsidRDefault="00A10905" w:rsidP="00A109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Borsa: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kota ettirildi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hareketlerinin kontrol ve takip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ihtisas borsas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Depolama hizmetleri: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kabul edilen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n;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klenmesi,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nakliyesi, depolamaya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uygun hale getirilmesi ve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ambalajlar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depodan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hizmetleri,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Kabuklu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k: </w:t>
      </w:r>
      <w:proofErr w:type="spellStart"/>
      <w:r>
        <w:rPr>
          <w:sz w:val="18"/>
          <w:szCs w:val="18"/>
        </w:rPr>
        <w:t>Corylusavellana</w:t>
      </w:r>
      <w:proofErr w:type="spellEnd"/>
      <w:r>
        <w:rPr>
          <w:sz w:val="18"/>
          <w:szCs w:val="18"/>
        </w:rPr>
        <w:t xml:space="preserve"> L. ve </w:t>
      </w:r>
      <w:proofErr w:type="spellStart"/>
      <w:r>
        <w:rPr>
          <w:sz w:val="18"/>
          <w:szCs w:val="18"/>
        </w:rPr>
        <w:t>Corylusmaxima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Mill</w:t>
      </w:r>
      <w:proofErr w:type="spellEnd"/>
      <w:r>
        <w:rPr>
          <w:sz w:val="18"/>
          <w:szCs w:val="18"/>
        </w:rPr>
        <w:t>.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rlerine giren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hibritlerinden</w:t>
      </w:r>
      <w:proofErr w:type="spellEnd"/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bitkilerinden elde edilen kabuklu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sert kabu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lerini,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Nat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beyazlat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kavrulmas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dilinmesi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ekillerde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 suretiyle elde edilen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Kabuklu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k: </w:t>
      </w:r>
      <w:proofErr w:type="spellStart"/>
      <w:r>
        <w:rPr>
          <w:sz w:val="18"/>
          <w:szCs w:val="18"/>
        </w:rPr>
        <w:t>Corylusavellana</w:t>
      </w:r>
      <w:proofErr w:type="spellEnd"/>
      <w:r>
        <w:rPr>
          <w:sz w:val="18"/>
          <w:szCs w:val="18"/>
        </w:rPr>
        <w:t xml:space="preserve"> L. ve </w:t>
      </w:r>
      <w:proofErr w:type="spellStart"/>
      <w:r>
        <w:rPr>
          <w:sz w:val="18"/>
          <w:szCs w:val="18"/>
        </w:rPr>
        <w:t>Corylusmaxima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Mill</w:t>
      </w:r>
      <w:proofErr w:type="spellEnd"/>
      <w:r>
        <w:rPr>
          <w:sz w:val="18"/>
          <w:szCs w:val="18"/>
        </w:rPr>
        <w:t>.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rlerine giren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hibritlerinden</w:t>
      </w:r>
      <w:proofErr w:type="spellEnd"/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 bitkilerinin </w:t>
      </w:r>
      <w:proofErr w:type="spellStart"/>
      <w:r>
        <w:rPr>
          <w:sz w:val="18"/>
          <w:szCs w:val="18"/>
        </w:rPr>
        <w:t>zuruflar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</w:t>
      </w:r>
      <w:proofErr w:type="spellEnd"/>
      <w:r>
        <w:rPr>
          <w:sz w:val="18"/>
          <w:szCs w:val="18"/>
        </w:rPr>
        <w:t>/kap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kabuklu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Kanun: </w:t>
      </w:r>
      <w:proofErr w:type="gramStart"/>
      <w:r>
        <w:rPr>
          <w:sz w:val="18"/>
          <w:szCs w:val="18"/>
        </w:rPr>
        <w:t>10/2/2005</w:t>
      </w:r>
      <w:proofErr w:type="gramEnd"/>
      <w:r>
        <w:rPr>
          <w:sz w:val="18"/>
          <w:szCs w:val="18"/>
        </w:rPr>
        <w:t xml:space="preserve"> tarihli ve 5300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Kanununu,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Lisans: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verilen faaliyet iznini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belgeyi,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depo: Lisans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muhafaza ve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 tesisleri,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letmesi/i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leticisi: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tigal eden ve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bir lisansa sahip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i) </w:t>
      </w:r>
      <w:proofErr w:type="spellStart"/>
      <w:r>
        <w:rPr>
          <w:sz w:val="18"/>
          <w:szCs w:val="18"/>
        </w:rPr>
        <w:t>Mud</w:t>
      </w:r>
      <w:r>
        <w:rPr>
          <w:sz w:val="18"/>
          <w:szCs w:val="18"/>
        </w:rPr>
        <w:t>î</w:t>
      </w:r>
      <w:proofErr w:type="spellEnd"/>
      <w:r>
        <w:rPr>
          <w:sz w:val="18"/>
          <w:szCs w:val="18"/>
        </w:rPr>
        <w:t>: Depolama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teslim eden veya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 mevzuata uygun olarak elinde bulunduran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j)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zenlenen,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lkiyetini temsil ve </w:t>
      </w:r>
      <w:proofErr w:type="spellStart"/>
      <w:r>
        <w:rPr>
          <w:sz w:val="18"/>
          <w:szCs w:val="18"/>
        </w:rPr>
        <w:t>rehnini</w:t>
      </w:r>
      <w:proofErr w:type="spellEnd"/>
      <w:r>
        <w:rPr>
          <w:sz w:val="18"/>
          <w:szCs w:val="18"/>
        </w:rPr>
        <w:t xml:space="preserve"> temin eden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nlerini analiz eden,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nitelik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zelliklerini belirleyen, standartlara uygun olarak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ve bu durumu belgelendiren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lisans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laboratuvarlar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A10905" w:rsidRDefault="00A10905" w:rsidP="00A109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Lisansl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depolarda bulunmas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gereken asgari nitelikler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Taban,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duvar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zeyleri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kirlenmesini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nleyecek ve rutubeti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irmeyecek,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koku ve hava etkisi ile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zararlardan koruyacak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 ve nitelikte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depolara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depodan tahliyesi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nakil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 rahat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likte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yerlerinin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grup, tip,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ve derecedeki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niteliklerinin bozulmas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fazla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nleyecek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ve nitelikte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Yeterli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sistemi, belgelendirilmesi suretiyle yeterli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 sistemi,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ve neme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korumal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muhafazal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elektrik sistemi ile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depolara nakledilmesi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nakil sistemine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Depolama hizmetleri ve depolamayla ilgili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yan hizmetleri yerine getirebilecek teknik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sahip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lastRenderedPageBreak/>
        <w:t>gereklidir</w:t>
      </w:r>
      <w:proofErr w:type="gramEnd"/>
      <w:r>
        <w:rPr>
          <w:sz w:val="18"/>
          <w:szCs w:val="18"/>
        </w:rPr>
        <w:t>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depolanacak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depo niteliklerini arayabilir ve uygulamaya koyabilir.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lisansa tabi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kapasitesi 10.000 tondan, her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ubesinin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kapasitesi ise 1.000 tondan az olamaz.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yerler, belirli bir sistemati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depo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nitelerin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mahal vermeyecek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kolayca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lebilecek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konusunda standart bir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zorunlu uygulamaya koyabilir.</w:t>
      </w:r>
    </w:p>
    <w:p w:rsidR="00A10905" w:rsidRDefault="00A10905" w:rsidP="00A109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Sermaye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letmesinin: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10.000 bin tona kadar; 1,00 milyon TL,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10.001 ila 20.000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1,50 milyon TL,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20.001 ila 35.000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2,00 milyon TL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35.001 ila 50.000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2,50 milyon TL,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50.000 tonu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her 10 bin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 ilave 200 bin TL,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asgari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sermayeye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A10905" w:rsidRDefault="00A10905" w:rsidP="00A109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Tart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m makbuzu ve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senedi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bilgilere ek olarak: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makbuzunda,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ve men</w:t>
      </w:r>
      <w:r>
        <w:rPr>
          <w:sz w:val="18"/>
          <w:szCs w:val="18"/>
        </w:rPr>
        <w:t>ş</w:t>
      </w:r>
      <w:r>
        <w:rPr>
          <w:sz w:val="18"/>
          <w:szCs w:val="18"/>
        </w:rPr>
        <w:t>eine,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senedinde ise,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grup, tip,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veya derecesi ile varsa alt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men</w:t>
      </w:r>
      <w:r>
        <w:rPr>
          <w:sz w:val="18"/>
          <w:szCs w:val="18"/>
        </w:rPr>
        <w:t>ş</w:t>
      </w:r>
      <w:r>
        <w:rPr>
          <w:sz w:val="18"/>
          <w:szCs w:val="18"/>
        </w:rPr>
        <w:t>ei ve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olarak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nemine ve ambalajl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kme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</w:t>
      </w:r>
      <w:proofErr w:type="gramEnd"/>
      <w:r>
        <w:rPr>
          <w:sz w:val="18"/>
          <w:szCs w:val="18"/>
        </w:rPr>
        <w:t xml:space="preserve"> bilgiler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10905" w:rsidRDefault="00A10905" w:rsidP="00A109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 xml:space="preserve"> depolamaya haz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 hale getirme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depolanmaya veya standartlara uygun olmayan ya da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olumsuz etkileyebilecek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depolanmaya ve standartlara uygun hale getirmek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temizleme, toz, ta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maddelerden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klama, eleme, kurutma,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 benzeri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tabi tutabilir.</w:t>
      </w:r>
      <w:proofErr w:type="gramEnd"/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Depolanmaya ve standartlara uygun hale getirilen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depolanabilir. Depolama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olmayan,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olumsuz etkileyecek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bulunan, standart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olan ve mevzuatta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hususlara uygun olmayan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A10905" w:rsidRDefault="00A10905" w:rsidP="00A109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>n tart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, depolanmas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blok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senedi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Kabuklu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toplam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% 6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rutubet ve % 50 rand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man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hesaplanarak tespit edilir.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proofErr w:type="spellStart"/>
      <w:r>
        <w:rPr>
          <w:sz w:val="18"/>
          <w:szCs w:val="18"/>
        </w:rPr>
        <w:t>mudiye</w:t>
      </w:r>
      <w:proofErr w:type="spellEnd"/>
      <w:r>
        <w:rPr>
          <w:sz w:val="18"/>
          <w:szCs w:val="18"/>
        </w:rPr>
        <w:t xml:space="preserve"> teslim edilirken de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ile analiz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kabul edilir.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klar,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analizi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lana kadar, depolanm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bunlar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konulabilir.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Depolanan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 her bir kentali/100 </w:t>
      </w:r>
      <w:proofErr w:type="spellStart"/>
      <w:r>
        <w:rPr>
          <w:sz w:val="18"/>
          <w:szCs w:val="18"/>
        </w:rPr>
        <w:t>kg</w:t>
      </w:r>
      <w:r>
        <w:rPr>
          <w:sz w:val="18"/>
          <w:szCs w:val="18"/>
        </w:rPr>
        <w:t>’ı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Ambalajl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paketli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klarda,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 kentalden daha az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zenlenebilir.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halinde, bir kentali/100 </w:t>
      </w:r>
      <w:proofErr w:type="spellStart"/>
      <w:r>
        <w:rPr>
          <w:sz w:val="18"/>
          <w:szCs w:val="18"/>
        </w:rPr>
        <w:t>kg</w:t>
      </w:r>
      <w:r>
        <w:rPr>
          <w:sz w:val="18"/>
          <w:szCs w:val="18"/>
        </w:rPr>
        <w:t>’ı</w:t>
      </w:r>
      <w:proofErr w:type="spellEnd"/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parti halindeki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toplam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blok halinde tek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zenlenebilir. Bu durumda blok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senedi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parti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toplam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10905" w:rsidRDefault="00A10905" w:rsidP="00A109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>n lisansl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depoya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olarak kabul</w:t>
      </w:r>
      <w:r>
        <w:rPr>
          <w:b/>
          <w:sz w:val="18"/>
          <w:szCs w:val="18"/>
        </w:rPr>
        <w:t>ü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depolama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ziyade nakletme veya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muhafaza etme gibi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en fazla 90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kabul edilebilir. Bu durumda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leticisi,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sahibiyle kendisi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depolar ve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tarifesinden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talep edebilir. Ancak,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kabul edilecek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depolama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ilk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merkez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ubede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tahsis edilen depolama kapasitesinin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onunu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genel olarak veya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en fazla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kabul edilen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zenlenmez. Ancak,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bulundurma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ortadan kalkarsa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rsa,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depoya kabul edilen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depolan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hem depo hem 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tlarda,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</w:t>
      </w:r>
      <w:proofErr w:type="spellStart"/>
      <w:r>
        <w:rPr>
          <w:sz w:val="18"/>
          <w:szCs w:val="18"/>
        </w:rPr>
        <w:t>mislen</w:t>
      </w:r>
      <w:proofErr w:type="spellEnd"/>
      <w:r>
        <w:rPr>
          <w:sz w:val="18"/>
          <w:szCs w:val="18"/>
        </w:rPr>
        <w:t xml:space="preserve"> depolanan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depoya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analiz sonucuna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 de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depoya kabul edilen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sahibi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ihtilaflar,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A10905" w:rsidRDefault="00A10905" w:rsidP="00A109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>n depolara yerle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tirilmesi, ayr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teslimi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11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k; grup, tip,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ve derecesine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tahsis ve tasnif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numaralanm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nitelerinde, grup, tip,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ve derecesi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depolan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Kabuklu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ile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nitelerde depolan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halinde,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ile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orijinal hali korunarak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depolanabilir. Bu durumda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nitelere konulur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ve fark edilebilir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depolanan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depodaki yeri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ambalajl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ambalajs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aynen depolanan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orijinal haliyle teslim edilir.</w:t>
      </w:r>
    </w:p>
    <w:p w:rsidR="00A10905" w:rsidRDefault="00A10905" w:rsidP="00A109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Prim ve indirim tarifesi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kabilecek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kalite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prim ve indirim tarifesine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tazmin edilir.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mudiye</w:t>
      </w:r>
      <w:proofErr w:type="spellEnd"/>
      <w:r>
        <w:rPr>
          <w:sz w:val="18"/>
          <w:szCs w:val="18"/>
        </w:rPr>
        <w:t xml:space="preserve"> tesliminde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kalite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bunlar prim ve indirim tarifesindeki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ise, prim ve indirim tarifesindeki kabul edilebilir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re;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depodan teslim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teslim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inden kaliteli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 ise, mudi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teslim tarihinde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ortalama fiyat </w:t>
      </w:r>
      <w:proofErr w:type="gramStart"/>
      <w:r>
        <w:rPr>
          <w:sz w:val="18"/>
          <w:szCs w:val="18"/>
        </w:rPr>
        <w:t>baz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kalite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fiyat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indirim tarifesi olarak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letmesine,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teslim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teslim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ndan kaliteli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 ise,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teslim tarihinde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ortalama fiyat </w:t>
      </w:r>
      <w:proofErr w:type="gramStart"/>
      <w:r>
        <w:rPr>
          <w:sz w:val="18"/>
          <w:szCs w:val="18"/>
        </w:rPr>
        <w:t>baz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kalite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fiyat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prim olarak </w:t>
      </w:r>
      <w:proofErr w:type="spellStart"/>
      <w:r>
        <w:rPr>
          <w:sz w:val="18"/>
          <w:szCs w:val="18"/>
        </w:rPr>
        <w:t>mudiye</w:t>
      </w:r>
      <w:proofErr w:type="spellEnd"/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ö</w:t>
      </w:r>
      <w:r>
        <w:rPr>
          <w:sz w:val="18"/>
          <w:szCs w:val="18"/>
        </w:rPr>
        <w:t>denir</w:t>
      </w:r>
      <w:proofErr w:type="gramEnd"/>
      <w:r>
        <w:rPr>
          <w:sz w:val="18"/>
          <w:szCs w:val="18"/>
        </w:rPr>
        <w:t>.</w:t>
      </w:r>
    </w:p>
    <w:p w:rsidR="00A10905" w:rsidRDefault="00A10905" w:rsidP="00A109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>n korunmas</w:t>
      </w:r>
      <w:r>
        <w:rPr>
          <w:b/>
          <w:sz w:val="18"/>
          <w:szCs w:val="18"/>
        </w:rPr>
        <w:t>ı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olsa bile her zaman,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gerekli dikkati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Depo her zaman temiz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depolama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 nemi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yetmi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tutulmal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tehlikesini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engelleyen toz,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p ve madde birikimleri ile kemirgen hayvan, mikroorganizma ve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ceklerden korunmal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zarar verecek hale gelmi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depolar, gerekli tadilatlar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ncaya ve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bozulmadan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hhatli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depolamas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hale getirilinceye kadar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A10905" w:rsidRDefault="00A10905" w:rsidP="00A109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>n azami depolama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resi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Kabuklu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neminden itibaren azami 24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depolarda depolanabilir.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ise; kabuklu olarak hasat edilmesinden itibaren 24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tarihten itibaren,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uvallanm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/kasalanm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azami 6 ay, raf </w:t>
      </w:r>
      <w:r>
        <w:rPr>
          <w:sz w:val="18"/>
          <w:szCs w:val="18"/>
        </w:rPr>
        <w:t>ö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daha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ise vakumlu ambalajl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azami 10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depolarda muhafaza edilebilir.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nemi,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sahibinin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gerekli analiz ve incelemelerle tespit edilir.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depolama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ve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tarihleri, uygulama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belirlenir ve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ilan edilir.</w:t>
      </w:r>
    </w:p>
    <w:p w:rsidR="00A10905" w:rsidRDefault="00A10905" w:rsidP="00A109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A10905" w:rsidRDefault="00A10905" w:rsidP="00A109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A10905" w:rsidRDefault="00A10905" w:rsidP="00A109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A10905" w:rsidRDefault="00A10905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10905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CF8" w:rsidRDefault="00396CF8" w:rsidP="00405B55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D364D5">
        <w:pPr>
          <w:pStyle w:val="Altbilgi"/>
          <w:jc w:val="center"/>
        </w:pPr>
        <w:fldSimple w:instr=" PAGE   \* MERGEFORMAT ">
          <w:r w:rsidR="00A10905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CF8" w:rsidRDefault="00396CF8" w:rsidP="00405B55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336C"/>
    <w:rsid w:val="00054B10"/>
    <w:rsid w:val="00057917"/>
    <w:rsid w:val="000679A9"/>
    <w:rsid w:val="00070398"/>
    <w:rsid w:val="00085DDB"/>
    <w:rsid w:val="000A593B"/>
    <w:rsid w:val="000B1A30"/>
    <w:rsid w:val="000B3DBA"/>
    <w:rsid w:val="000B7215"/>
    <w:rsid w:val="000C0018"/>
    <w:rsid w:val="000C0B08"/>
    <w:rsid w:val="000C212A"/>
    <w:rsid w:val="000E27CF"/>
    <w:rsid w:val="00117833"/>
    <w:rsid w:val="00120BB8"/>
    <w:rsid w:val="00121400"/>
    <w:rsid w:val="001313A1"/>
    <w:rsid w:val="00133559"/>
    <w:rsid w:val="0015439C"/>
    <w:rsid w:val="00156500"/>
    <w:rsid w:val="00171DF7"/>
    <w:rsid w:val="00173570"/>
    <w:rsid w:val="00174FC7"/>
    <w:rsid w:val="00190AD2"/>
    <w:rsid w:val="00192895"/>
    <w:rsid w:val="001A0BF3"/>
    <w:rsid w:val="001A3B7D"/>
    <w:rsid w:val="001A57F0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542E"/>
    <w:rsid w:val="00255D66"/>
    <w:rsid w:val="002566FC"/>
    <w:rsid w:val="00261D6D"/>
    <w:rsid w:val="00293A69"/>
    <w:rsid w:val="002B4AF0"/>
    <w:rsid w:val="002E68E5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F0B"/>
    <w:rsid w:val="005537FA"/>
    <w:rsid w:val="005603EC"/>
    <w:rsid w:val="0056277B"/>
    <w:rsid w:val="005A3F48"/>
    <w:rsid w:val="005B42A5"/>
    <w:rsid w:val="005D0BF1"/>
    <w:rsid w:val="005D4E02"/>
    <w:rsid w:val="005E2AE1"/>
    <w:rsid w:val="005E355C"/>
    <w:rsid w:val="005E4D72"/>
    <w:rsid w:val="005F4336"/>
    <w:rsid w:val="00601F8B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A01BE"/>
    <w:rsid w:val="009B6B6A"/>
    <w:rsid w:val="009D1064"/>
    <w:rsid w:val="009E1A19"/>
    <w:rsid w:val="009F1AA3"/>
    <w:rsid w:val="009F2D7D"/>
    <w:rsid w:val="009F3488"/>
    <w:rsid w:val="00A01D20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C30"/>
    <w:rsid w:val="00CC0481"/>
    <w:rsid w:val="00CE5503"/>
    <w:rsid w:val="00CE72C5"/>
    <w:rsid w:val="00CF7B26"/>
    <w:rsid w:val="00D02BDC"/>
    <w:rsid w:val="00D0464C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22A9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108DF"/>
    <w:rsid w:val="00F222BF"/>
    <w:rsid w:val="00F36C8C"/>
    <w:rsid w:val="00F67A94"/>
    <w:rsid w:val="00F70667"/>
    <w:rsid w:val="00F76D09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1822</Words>
  <Characters>10392</Characters>
  <Application>Microsoft Office Word</Application>
  <DocSecurity>0</DocSecurity>
  <Lines>86</Lines>
  <Paragraphs>24</Paragraphs>
  <ScaleCrop>false</ScaleCrop>
  <Company>TURMOB</Company>
  <LinksUpToDate>false</LinksUpToDate>
  <CharactersWithSpaces>12190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240</cp:revision>
  <cp:lastPrinted>2013-01-07T06:33:00Z</cp:lastPrinted>
  <dcterms:created xsi:type="dcterms:W3CDTF">2013-01-02T06:53:00Z</dcterms:created>
  <dcterms:modified xsi:type="dcterms:W3CDTF">2013-04-12T05:49:00Z</dcterms:modified>
</cp:coreProperties>
</file>