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E10E0F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28620</w:t>
      </w:r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092325" w:rsidRDefault="00092325" w:rsidP="0009232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092325" w:rsidRDefault="00092325" w:rsidP="00092325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92325" w:rsidRDefault="00092325" w:rsidP="00092325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11/4/2005 tarihli ve 25783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olarak, 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 ile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Kanununun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8/a,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Tutulmas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zorunlu olan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Her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dairesince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eylerin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Posta mutemet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Haciz takip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Esas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elektronik veya fiziki ortamda gelen takip talepleri, ihtiyat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haciz ve tedbire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isteklerin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 tarihi,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varsa kanuni temsilcisinin veya vekilinin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 (yabanc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oturuyorsa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rkiye'de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adresi),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(bir terekeye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olan takiplerde kendilerine tebligat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miras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adresleri) ve varsa kanuni temsilcisinin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biliniyorsa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yerindeki adresi, takibin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veya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faiz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faizin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alacak veya teminat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ise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 hangi tarihteki kur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talep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faizi, takibin dayana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olan belgenin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tarihi, varsa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talebinde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ve ibraz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belgelerin talep ve takip giderinin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verilen makbuzun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Kanununun 62 ve 176/a maddelerinin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luya verilmesi zorunlu olan belgenin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bu sonucun neden ibaret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belirten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lanmayan takip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devir suretiyle kaydedilmez.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sonunda,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ne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icra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ne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takipsiz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ne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devredilmi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devredilen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Ulusal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Sisteminde (UYAP) bir cetvel halinde rapor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Talimat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dairelerinden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talimat taleplerine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kayda;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talimat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dairesi, talimat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tarih ve dosya esas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varsa kanuni temsilcisinin veya vekilinin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ve varsa kanuni temsilcisinin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talimat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sonucunun neden ibaret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kaydedilir.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tta da,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lsonunda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kayd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kayd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olarak kaydedildi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defterdir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tutulan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kelimesinin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mesai saati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defterine de bu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ve reddiyat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tabi tutulur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ettirilip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defterdeki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tarihi,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birim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esas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makbuz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miktar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veya reddiyat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Cezaevi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harc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tahsil edilen 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 yevmiye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tarihi, 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genel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esas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tahsil edilen paralar,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ertesi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 saati sonuna kadar 93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bankalardaki hesaplara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ymetli evrak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erli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eylerin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eylerin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gibi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gibi 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38 inci maddedeki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makbuz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esas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verilen makbuzun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eyin cinsi ve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sahibinin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eyin takdir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paraya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 bedeli,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tarihi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aynen iade olunmu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 iade tarihi, iade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nerede sakland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Kanununun 88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icra dairesinde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haczedilen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eylerin de kaydedilmesi zorunludur.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Posta mutemet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Posta mutemet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posta ile veya kasa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banka haricindeki bankalara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havale yolu ile gelen paraya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t; havale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yeri,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tarihi,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posta memurunun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kasa tarihi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makbuzunun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tutulan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 imzalat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kartonda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Posta mutemet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kaydedilerek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 kesilir ve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tuna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makbuzunun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posta merkezinden havale almaya yetkili mutemetlerin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memuriyetleri ile uygulamaya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imzalar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ve teslimat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 yer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bildirirler.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Muhabere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dairesinden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dairesine gelen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maddelerde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gerekenler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gelen ve giden evrak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verilen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daire,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 tarihi,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 takip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mercilere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larla, onlara verilen cevaplar ve icra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ait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Zimmet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s dairesinden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mercilere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ve evrak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tutulan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imzalat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kartonda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12 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Disiplin soru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turmas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tutulan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teki veya varsa kanuni temsilcisinin veya vekilinin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 tarihi,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yette bulunulan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unvan ve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karar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12/A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Haciz takip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12/A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Haciz takip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haciz talebine istinaden haciz, teslim ve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varsa kanuni temsilcisinin veya vekilinin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sayman mutemedi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makbuzu yevmiye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Tevzi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Takip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belirli kriterlere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dairelere tevzi edilir. Birden fazla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olan yerlerde, her daireye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Tevzi kriterleri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15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Yeni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eklenmesi ve sorgulama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tlara,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yeni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veya mevcut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yeni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 eklenebilir.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tlardaki verilerin bir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bir arada sorgulan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raporlanabilir.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UYAP</w:t>
      </w:r>
      <w:r>
        <w:rPr>
          <w:b/>
          <w:sz w:val="18"/>
          <w:szCs w:val="18"/>
        </w:rPr>
        <w:t>’ı</w:t>
      </w:r>
      <w:r>
        <w:rPr>
          <w:b/>
          <w:sz w:val="18"/>
          <w:szCs w:val="18"/>
        </w:rPr>
        <w:t>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mahkemeleri,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lerindeki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veri, bilgi ve belge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ile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dosyalama, saklama ve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uyum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birimlerle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UYAP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icra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tibi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personel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listesini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kontrol etmek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yerine getirmekle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Mahkemelere ve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verilen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evrak,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kaydedilir ve ilgili birime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Taraf ve vekilleri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ilgililer,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imzalamak suretiyle UYAP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mahkemeler veya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elektronik ortamda bilgi ve belge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nderebilirler, takip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abilirler.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sorgulamalarda vekil ile takip edilen dosyalarda,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sorgulama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edilebilir. UYAP Avukat Portal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ise her zaman sorgulama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Gelen evraktan sorumlu personel, UYAP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mahkeme veya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listesine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en belgeleri derhal ilgili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ya 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kimin veya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evrak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kimin veya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listesine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Tutanak, belge ve kararlar elektronik ortamda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gerekli olanlar ilgilileri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ortamda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imzalanan evrak UYAP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birimlere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nderilmez.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Teknik nedenlerle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 veya kararlar, engelin ortadan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derhal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ilerce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imzalanarak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kaydedilir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UYAP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ilgili birimlere iletilir.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ilgili birimlere iletilen belge ve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mahallinde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nderilmez. Ancak, belge veya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incelenmesinin zorunlu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olan belgeler ise fiziki ortamda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UYAP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birimlere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nderilememesi halinde; belge veya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belirtilerek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imzalanmak sureti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Taraf veya vekilleri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sonunda biter.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lemlerin, ertesi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sarkmamas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saat 00:00'a kadar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Fizik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mesai saati sonunda biter.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20 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vergi kimlik numaras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,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banka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hesap bilgisi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19/3/1985 tarihli ve 3167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Hamillerinin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14/12/2009 tarihli ve 5941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Kanunu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Takibin elektronik ortamda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takibe eklenecek belgeler elektronik ortama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 ile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kambiyo senetleri elektronik ortamda takip talebine eklense de,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belgenin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ilgili daireye ibraz edilmesi zorunludur. Aksi takdirde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22 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birbirini takip eden sayfa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 ve gerekirse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sonuna eklenecek sayfalarla birlikte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dosya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talepler, itirazlar ve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bildirim,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irilir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 belirtilerek, ilgilisi ve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tibi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imzalanmak suretiyle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ortamda gelen talepler, itirazlar ve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bildirim ise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Reddedilen paralar ve bu paralardan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kesinti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 halinde tutanakta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Borcun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icra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27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c) Borcun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icra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c)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icra emrinde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veya icra mahkemesinden veya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tay'dan yahut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yenilenmesi yolu ile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mahkemeden icran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karar getirilmezse,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rehnedilmi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Borcun ve takip giderlerinin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teminat verilmesi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d)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itiraz olunmaz ve 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lmazsa, rehinli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c)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borca itiraz edilmez ve (b) bendinde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lmazsa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32 nci maddesinin 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Borcun ve takip giderlerinin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Borcun ve takip giderlerinin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Borcun ve takip giderlerinin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emrini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(e)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bor</w:t>
      </w:r>
      <w:r>
        <w:rPr>
          <w:sz w:val="18"/>
          <w:szCs w:val="18"/>
        </w:rPr>
        <w:t>ç”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deme emrinde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denmezse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42 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alacak tahsil edilinceye kadar borcunu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haciz ihbarnamesini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veya hacizli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ancak icra dairesine teslim edebilece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luya vermemesi, aksi halde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bedelini icra dairesine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zorunda kalaca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>kinci haciz ihbarnamesinde 42 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Bunun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birinci haciz ihbarnamesinin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tarihi,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itiraz edilmemesi nedeniyle borcun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zimmetinde ve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yedinde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bildirilir.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ihbarnamenin kendisine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birinci haciz ihbarnamesinde bildirilen sebeplerle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icra dairesine itirazda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itirazda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zimmetinde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borcu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haciz ihbarnamesini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yedinde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icra dairesine teslim etmesi de ihtar edilir.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borcu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icra dairesine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haciz ihbarnamesini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icra dairesine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borcu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icra dairesine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haciz ihbarnamesini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icra dairesine ait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47 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47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 ve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ekli, 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saat, birinci ve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tarihleri ile her iki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elektronik ortamda teklif vermenin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sona 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cinsi, takdir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teklif, ihalede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miktar,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ihalenin sonucu, ihalenin kime ve ne suretle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Tutanak,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yapan memur ile tell</w:t>
      </w:r>
      <w:r>
        <w:rPr>
          <w:sz w:val="18"/>
          <w:szCs w:val="18"/>
        </w:rPr>
        <w:t>â</w:t>
      </w:r>
      <w:r>
        <w:rPr>
          <w:sz w:val="18"/>
          <w:szCs w:val="18"/>
        </w:rPr>
        <w:t>l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halenin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teklifte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tutanakta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48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48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eyin cinsi,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takdir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yer, birinci ve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saatleri ile her iki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elektronik ortamda teklif vermenin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artnamesinin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bilgilerin nereden ve 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belirtilerek gideri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takdirde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artnamenin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isteyene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 Bu ilan elektronik ortamda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ancak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ilanda imza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aranmaz.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48 inci maddeden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48/A maddesi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ihale usul</w:t>
      </w:r>
      <w:r>
        <w:rPr>
          <w:b/>
          <w:sz w:val="18"/>
          <w:szCs w:val="18"/>
        </w:rPr>
        <w:t>ü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48/A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elektronik ortamda teklif verme yoluyla 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tarihinden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ortamda teklif verme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sonunda sona erer.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 ise elektronik ortamda teklif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rmadan sonraki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takip eden en az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belirlenecek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sonunda sona erer.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verilecek teklifler haczedilen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ellisinden az olamaz, teklif vermeden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haczedilen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yirmisi nispetinde teminat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zorunludur. Elektronik ortamda teklif verebilmek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bu konuda UYAP ile entegrasyonu tamamlanan bankalar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verebilmek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edilmesi gerekir.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teklifi veren haricindeki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elektronik ortamda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usulle iade alabilirler.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teminatlar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tamamland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s dairesince de UYAP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iade edilebilir.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veren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sonuna kadar daha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teklifi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lemi;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belirlenmek suretiyle, bu miktara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ncaya kadar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teklif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kendi teklifinin belirtilen miktar kadar otomatik olarak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 suretiyle 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masa dahi, elektronik ortamda teklif verme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sonunda biter.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ve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icra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ilanda belirlenen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saatte,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teklif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mal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defa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erlendirilerek,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rana ihale edilir.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bedelinin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bedelinin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ellisini bulmas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isteyenin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alacaklar o malla temin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bu suretle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mecmuundan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paraya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evirme ve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kmazsa veya bu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lmazsa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icra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kmazsa veya bu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mezse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talebi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er."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49 uncu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49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 ve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ad ve soyadlar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n, saat,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artnamenin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bulunduruldu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birinci ve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saatleri ile her iki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elektronik ortamda teklif vermenin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sona 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tapu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varsa,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nmazla temin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intikal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tapu sicilindeki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 ve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nmaz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kellefiyetler, takdir olunan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takdir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pey 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veya banka teminat mektubunu tevdi etmeleri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ilgiliden pey 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veya teminat mektubu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aranmayaca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imar durumu, hangi giderlerin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ait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gerekli bilgiler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tarih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teklif, ihalede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miktar,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ihalenin sonucu, ihalenin kime ve ne suretle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Tutanak,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yapan memur ile tell</w:t>
      </w:r>
      <w:r>
        <w:rPr>
          <w:sz w:val="18"/>
          <w:szCs w:val="18"/>
        </w:rPr>
        <w:t>â</w:t>
      </w:r>
      <w:r>
        <w:rPr>
          <w:sz w:val="18"/>
          <w:szCs w:val="18"/>
        </w:rPr>
        <w:t>l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halenin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teklifte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tutanakta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50 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nda;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saat, her iki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elektronik ortamda teklif vermenin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artnamesinin hangi tarihten itibaren herkes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zamanda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bedeli takdir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ellisini bulmad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ve saatte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rana ihale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potek sahibi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ilgililerin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nmaz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faiz ve giderlere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olan iddialar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dayana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belgeler ile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icra dairesine bildirmeleri, aksi halde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tapu sicili ile sabit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bedelinin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 Bu ilan elektronik ortamda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ancak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ilanda imza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aranmaz.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bendindeki ihtar irtifak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sahiplerine 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48 inci maddedeki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burada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50 nci maddeden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50/A maddesi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nmaz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ihale usul</w:t>
      </w:r>
      <w:r>
        <w:rPr>
          <w:b/>
          <w:sz w:val="18"/>
          <w:szCs w:val="18"/>
        </w:rPr>
        <w:t>ü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50/A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elektronik ortamda teklif verme yoluyla 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tarihinden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Elektronik ortamda teklif verme,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sonunda sona erer.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 ise elektronik ortamda teklif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rmadan sonraki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takiben en az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belirlenecek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sonunda sona erer.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verilecek teklifler, haczedilen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ellisinden az olamaz, teklif vermeden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haczedilen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yirmisi nispetinde teminat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zorunludur. Elektronik ortamda teklif verebilmek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bu konuda UYAP ile entegrasyonu tamamlanan bankalar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verebilmek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edilmesi gerekir.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teklifi veren haricindeki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elektronik ortamda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usulle iade alabilirler.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teminatlar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tamamland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s dairesince de UYAP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iade edilebilir.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veren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sonuna kadar daha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teklifi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teklif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lemi;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belirlenmek suretiyle, bu miktara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ncaya kadar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teklif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kendi teklifinin belirtilen miktar kadar otomatik olarak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 suretiyle 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masa dahi, elektronik ortamda teklif verme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sonunda biter.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ve ikinci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icra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ilanda belirlenen yer,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saatte,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teklif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nmaz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defa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elektronik ortamda verilen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erlendirilerek,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rana ihale edilir.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ki,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bedelinin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tahmin edilen bedelinin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ellisini bulmas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isteyenin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alacaklar o malla temin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bu suretle r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mecmuundan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paraya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evirme ve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kmazsa veya bu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lmazsa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icra memuru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kinci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kmazsa veya bu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mezse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talebi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er."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61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61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makbuzu,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lenecek paralar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makbuzdur. Bu makbuzda dosya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rakam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belirtilecek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sebebi, kim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 memur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makbuz,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zenlenir,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shalardan biri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rana verilir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ise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listeye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topluca gelen paralar on ve daha fazla dosyay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toplam miktar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 kesilebilir. Bu makbuz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kurum veya daireye verilir,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eklenir. Makbuz muhteviyat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para, listeler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irilir ve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dosyalara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62 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62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Reddiyat makbuzu,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lenen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reddinde doldurulan bir makbuzdur. Bu makbuzda,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ve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ad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t makbuzundaki numara, tarih ve miktar ile </w:t>
      </w:r>
      <w:r>
        <w:rPr>
          <w:sz w:val="18"/>
          <w:szCs w:val="18"/>
        </w:rPr>
        <w:lastRenderedPageBreak/>
        <w:t>reddedilen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bundan kesilecek tahsil ve cezaevi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verilmesi gereken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rakam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belirtilecek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imza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dairelerinden,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dairesine Posta ve Telgraf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banka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gereken toplu para on ve daha fazla dosyay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 bu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bir reddiyat makbuzu kesilebilir. Bu makbuz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eklenir. Reddiyat makbuzu ve cetvelde yer alan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,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 ve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dosyalara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Tahsil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t ve reddiyat makbuzlar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zenlenmesi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Tahsilat ve reddiyat makbuzlar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UYAP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seri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verilerek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zekkerenin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zekkerenin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r;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kartonuna konulur,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 ve maliyeye verilir.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67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zimmet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67 nci maddesinden sonra gelen </w:t>
      </w:r>
      <w:r>
        <w:rPr>
          <w:sz w:val="18"/>
          <w:szCs w:val="18"/>
        </w:rPr>
        <w:t>“İ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 bu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67 nci maddesinden sonra gelen birinci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68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Tutulmas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zorunlu olan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mahkemesinde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ve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Posta mutemet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Ceza infaz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68 inci maddesinden sonra gelen ikinci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69 uncu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Esas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mahkemesine intikal eden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dava,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yet, itiraz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konkordato ve bu nitelikteki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veya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esas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veya san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davan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zeti,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yoklukta verilen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tarihi,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adliye mahkemesine veya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tay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istinaf ve temyiz sonucu,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ve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mat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tahsil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zekkeresinin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icra mahkemesinde hukuk ve ceza davalar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mahkemesinde ceza davalar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tutulacak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tta, her 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mahkemesine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kolayca bilmek ve numara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dosyalar 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devir suretiyle kaydedilmez.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sonunda,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ne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ne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devredilmi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toplam olarak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lmakla beraber, devredilen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bir cetvel halinde rapor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ceza mahkemelerinden verilip,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ve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miyete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fazla bir hafta, temyiz edilen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tay'dan onanarak gelmesini izleyen bir hafta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infaza verilmesi zorunludur.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ve eklerinin infaz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esas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her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verilmesi zorunlu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gibi,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hem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rriyeti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ve hem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 her ceza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verilir.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70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 ve talimat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70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ve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Kanununun 76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ve 21/7/1953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hapsen tazyik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 istemine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yer icra mahkemesinden gelen talimat evraklar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veya tevdi tarihi,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varsa vekilinin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(m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kellefin) varsa kanuni temsilcisinin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talebin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talimat veya belgeyi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mahkeme, makam veya merciin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belgenin tarihi,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sonucu,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zeti, hapsen tazyik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infaz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tevdi olundu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tarih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talepler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tezkerelere, talebin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lenmez.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71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Muhabere 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Muhabere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mahkemelerinde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gerekmeyen ancak icra mahkemesince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icra mahkemesine gelen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belgenin tarihi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 daire,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sevk tarihi, belgenin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Esas,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ve talimat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ait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kayda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irilmez,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kaydedilmekle yetinilir.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72 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Kanun yoluna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ilgilileri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l</w:t>
      </w:r>
      <w:r>
        <w:rPr>
          <w:sz w:val="18"/>
          <w:szCs w:val="18"/>
        </w:rPr>
        <w:t>â</w:t>
      </w:r>
      <w:r>
        <w:rPr>
          <w:sz w:val="18"/>
          <w:szCs w:val="18"/>
        </w:rPr>
        <w:t>yiha veya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belge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veya l</w:t>
      </w:r>
      <w:r>
        <w:rPr>
          <w:sz w:val="18"/>
          <w:szCs w:val="18"/>
        </w:rPr>
        <w:t>â</w:t>
      </w:r>
      <w:r>
        <w:rPr>
          <w:sz w:val="18"/>
          <w:szCs w:val="18"/>
        </w:rPr>
        <w:t>yiha tarihi,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aleyhine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davan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vurulan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tarihi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getirilip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ve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veya ait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mercie tevdi tarihi,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aleyhine 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vurulana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tarihi, kanun yolu sonucunun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Duru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nleri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dava,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itiraz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teki) ve varsa vekilinin,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 (san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k) ve varsa kanuni temsilcisinin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(veya murafaan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saat, ertelendi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Zimmet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Zimmet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mahkemelerinden, mahkemelere, muhtelif daire ve mercilere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belgenin nereye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ne tarihte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ortamda tutulan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 imzalat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kartonda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75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Posta mutemet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Posta mutemet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mahkemelerine havale yoluyla gelen paralara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tutuldu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yer, havale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tarihi,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alacak 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Disiplin soru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turmas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personel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disiplin amiri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teki veya varsa kanuni temsilcisinin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personelin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daire,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tarihi,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yetin konusu,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Disiplin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 verilen kararlar,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kartonda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77 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Ceza infaz kayd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Ceza infaz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icra mahkemelerinden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miyeti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tta;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esas ve karar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san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karar tarihi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zeti,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veren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tarihi, 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belgeyi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nceler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78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mahkemelerinde, 68 inci maddede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(kanun yoluna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vuru-sevk giderleri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avans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paralar da bu kayda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lenir)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eylere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tutulur.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78 inci maddesinden sonra gelen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79 uncu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tutma usul</w:t>
      </w:r>
      <w:r>
        <w:rPr>
          <w:b/>
          <w:sz w:val="18"/>
          <w:szCs w:val="18"/>
        </w:rPr>
        <w:t>ü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mahkemesinde hukuk ve cezaya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80 inci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81 inci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82 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82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mahkemesinde her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 dosya tutulur.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12/1/2011 tarihli ve 6100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Hukuk Muhakemeleri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tutanak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 ve gerek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yet, gerek itiraz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verilecek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Kanunun 297 nci maddesinde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ermesi gerekir.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298, 299, 301 inci maddeleri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burada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87 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zimmet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esas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defterinin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zimmet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defterine kaydedilerek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lenerek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91 inci maddesinden sonra gelen </w:t>
      </w:r>
      <w:r>
        <w:rPr>
          <w:sz w:val="18"/>
          <w:szCs w:val="18"/>
        </w:rPr>
        <w:t>“ÜÇÜ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92 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nakd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deme,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bankalarda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hesaba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Haciz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lu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nedeniyle tahsil edilen paralar,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takip eden ilk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saati sonuna kadar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icra veya mahkeme kasalar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nakd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deme, ilgilisinin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icra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resen bankaya verilecek talimat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Talimat,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dairesi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sonuna kadar verilir.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>cra daireleri,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takipler sonucunda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alamayan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verdikleri aciz vesikalar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merkezinde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sicili tutmakla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icra dairesine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sicili tutan birimce elektronik ortamda sorgulan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lenebilir.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95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95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demeden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elektronik ortamda UYAP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ta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ablona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tutulur.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ikinci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tarihi ile ilgili icra dairesinin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alacakl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yerindeki adresi,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tutarda alacak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sicilden terkin nedenini, yedinci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Sicile kaydedilen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lulardan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elektronik ortamda sorgulama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97 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98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98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rken kayda esas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rakam hatas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sicili tutan icra dairesi bu madd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resen veya talep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elektronik ortamda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zeltir.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zeltmenin nedeni ve tarihi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99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iklik,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100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Terkin, aciz vesikas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tuna terkin sebebi, terkine esas olan belgenin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lenmek suretiyle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101 inci maddesinden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ALTINCI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hususta,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“üç”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Cumhuriyet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ise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Ocak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el koyarak, kasa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yol giderleri ve tazminat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(b)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irilip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kasa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(e)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(g)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(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cezaevi yap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(n)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defterlerinin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(h)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durumu, kasa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yol gideri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defterindeki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tlarla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(k) bendindeki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gereken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 ve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105 inci maddesinden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ALTINCI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KISIM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108 inci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>Dosyalar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ve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saklanmas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dairelerinde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lemde olan dosya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tlar, 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elektronik ortamda korunur.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Takipsizlik veya yerine getirilmesi (infaz) suretiyle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lemden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dosyalarla,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kartonlar, buna ait bir tevdi ve teslim cetveli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zenlenerek,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memura tevdi ve teslim olunur. Tevdi ve teslim cetveli tevdi eden ve teslim alan memurlar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>cra ve ifl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kasa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intikal ettirdikleri paralarla,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cezaevi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kasada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yerlerde saklarlar.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mlesindeki 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kasa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yol giderleri ve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dosya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111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111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Kasan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denetim sonucunda kasada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fazla para, tek kalem halinde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birim kasa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tahsil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t makbuzu kesilmek suretiyle kasa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sonu, tespit edilen bu fazlal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yeni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devredilerek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sterilmesi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cra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fl</w:t>
      </w:r>
      <w:r>
        <w:rPr>
          <w:sz w:val="18"/>
          <w:szCs w:val="18"/>
        </w:rPr>
        <w:t>â</w:t>
      </w:r>
      <w:r>
        <w:rPr>
          <w:sz w:val="18"/>
          <w:szCs w:val="18"/>
        </w:rPr>
        <w:t>s Kanununun 362 ve 492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ilgilinin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beklenmesi; zamana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ledikten sonra Hazineye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makbuz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maliyeye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makbuzun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kartonunda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112 nci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Hukuk Muhakemeleri Kanunu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inin uygulanmas</w:t>
      </w:r>
      <w:r>
        <w:rPr>
          <w:b/>
          <w:sz w:val="18"/>
          <w:szCs w:val="18"/>
        </w:rPr>
        <w:t>ı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3/4/2012 tarihli ve 28253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Hukuk Muhakemeleri Kanunu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icra mahkemesinde 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zorunlu olan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 ve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mahkemelerinde mevcut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defter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115 inci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in,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olup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UYAP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gerekli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 duyurular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ekindeki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defterler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ekindeki 1, 4-5, 6, 7, 8, 9, 10, 11, 12, 13, 16, 20, 21, 21/a, 24, 25, 26, 27, 38, 39 ve 44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rnekleri,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98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Adalet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92325" w:rsidRDefault="00092325" w:rsidP="0009232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092325" w:rsidRDefault="00092325" w:rsidP="00092325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  <w:u w:val="none"/>
          </w:rPr>
          <w:t>Y</w:t>
        </w:r>
        <w:r>
          <w:rPr>
            <w:rStyle w:val="Kpr"/>
            <w:b/>
            <w:bCs/>
            <w:sz w:val="18"/>
            <w:szCs w:val="18"/>
            <w:u w:val="none"/>
          </w:rPr>
          <w:t>ö</w:t>
        </w:r>
        <w:r>
          <w:rPr>
            <w:rStyle w:val="Kpr"/>
            <w:b/>
            <w:bCs/>
            <w:sz w:val="18"/>
            <w:szCs w:val="18"/>
            <w:u w:val="none"/>
          </w:rPr>
          <w:t>netmeli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 i</w:t>
        </w:r>
        <w:r>
          <w:rPr>
            <w:rStyle w:val="Kpr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in t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klay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n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z</w:t>
        </w:r>
      </w:hyperlink>
    </w:p>
    <w:p w:rsidR="00092325" w:rsidRDefault="00092325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09232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5C" w:rsidRDefault="0080675C" w:rsidP="00405B55">
      <w:pPr>
        <w:spacing w:after="0" w:line="240" w:lineRule="auto"/>
      </w:pPr>
      <w:r>
        <w:separator/>
      </w:r>
    </w:p>
  </w:endnote>
  <w:endnote w:type="continuationSeparator" w:id="0">
    <w:p w:rsidR="0080675C" w:rsidRDefault="0080675C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5A77F3">
        <w:pPr>
          <w:pStyle w:val="Altbilgi"/>
          <w:jc w:val="center"/>
        </w:pPr>
        <w:fldSimple w:instr=" PAGE   \* MERGEFORMAT ">
          <w:r w:rsidR="00092325">
            <w:rPr>
              <w:noProof/>
            </w:rPr>
            <w:t>10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5C" w:rsidRDefault="0080675C" w:rsidP="00405B55">
      <w:pPr>
        <w:spacing w:after="0" w:line="240" w:lineRule="auto"/>
      </w:pPr>
      <w:r>
        <w:separator/>
      </w:r>
    </w:p>
  </w:footnote>
  <w:footnote w:type="continuationSeparator" w:id="0">
    <w:p w:rsidR="0080675C" w:rsidRDefault="0080675C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4/20130416-4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7681</Words>
  <Characters>43783</Characters>
  <Application>Microsoft Office Word</Application>
  <DocSecurity>0</DocSecurity>
  <Lines>364</Lines>
  <Paragraphs>102</Paragraphs>
  <ScaleCrop>false</ScaleCrop>
  <Company>TURMOB</Company>
  <LinksUpToDate>false</LinksUpToDate>
  <CharactersWithSpaces>51362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260</cp:revision>
  <cp:lastPrinted>2013-01-07T06:33:00Z</cp:lastPrinted>
  <dcterms:created xsi:type="dcterms:W3CDTF">2013-01-02T06:53:00Z</dcterms:created>
  <dcterms:modified xsi:type="dcterms:W3CDTF">2013-04-16T05:37:00Z</dcterms:modified>
</cp:coreProperties>
</file>