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0D3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28627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50D3A" w:rsidRDefault="00B50D3A" w:rsidP="00B50D3A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Kurumundan:</w:t>
      </w:r>
    </w:p>
    <w:p w:rsidR="00B50D3A" w:rsidRDefault="00B50D3A" w:rsidP="00B50D3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AKARYAKIT HAR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NDE KALAN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 YURT </w:t>
      </w:r>
      <w:r>
        <w:rPr>
          <w:sz w:val="18"/>
          <w:szCs w:val="18"/>
        </w:rPr>
        <w:t>İÇİ</w:t>
      </w:r>
      <w:r>
        <w:rPr>
          <w:sz w:val="18"/>
          <w:szCs w:val="18"/>
        </w:rPr>
        <w:t xml:space="preserve"> VE</w:t>
      </w:r>
    </w:p>
    <w:p w:rsidR="00B50D3A" w:rsidRDefault="00B50D3A" w:rsidP="00B50D3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YURT 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KAYNAKLARDAN TEM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USUL</w:t>
      </w:r>
    </w:p>
    <w:p w:rsidR="00B50D3A" w:rsidRDefault="00B50D3A" w:rsidP="00B50D3A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VE ESASLAR HAKKINDA TEBL</w:t>
      </w:r>
      <w:r>
        <w:rPr>
          <w:sz w:val="18"/>
          <w:szCs w:val="18"/>
        </w:rPr>
        <w:t>İĞ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haricinde kalan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nlerinin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kaynaklardan temininde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belirlenmesidir.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4/12/2003</w:t>
      </w:r>
      <w:proofErr w:type="gramEnd"/>
      <w:r>
        <w:rPr>
          <w:sz w:val="18"/>
          <w:szCs w:val="18"/>
        </w:rPr>
        <w:t xml:space="preserve"> tarihli ve 5015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Petrol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9 uncu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17/6/2004 tarihli ve 25495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Petrol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44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haricinde kalan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: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maddeleri,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kan: 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Daire: Petrol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Kurul: 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Kurulunu,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Kurum: 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Kurumunu,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Uygunluk yaz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haricinde kalan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nlerinin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kaynaklardan temin edilebilmesi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Kurumdan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haricinde kalan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nlerinin;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inden temini sanayiciler,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ithali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sanayiciler ya da sanayiciler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</w:t>
      </w:r>
      <w:proofErr w:type="gram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istatistik pozisyonu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iler,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sadece Kurumdan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satabilir.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hem sanayici hem de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verilmez.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Sanayiciler, en fazla iki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ya yetki vermek suretiyle,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talebinde bulunabilir.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proofErr w:type="gramStart"/>
      <w:r>
        <w:rPr>
          <w:sz w:val="18"/>
          <w:szCs w:val="18"/>
        </w:rPr>
        <w:t>13/1/2011</w:t>
      </w:r>
      <w:proofErr w:type="gramEnd"/>
      <w:r>
        <w:rPr>
          <w:sz w:val="18"/>
          <w:szCs w:val="18"/>
        </w:rPr>
        <w:t xml:space="preserve"> tarihli ve 6102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Ticaret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sermaye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lar, sanayiciler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ithal ettikleri maddeleri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veremez.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Uygunluk yaz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aranmayacak durumlar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Sevkiyat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net 150 kilogram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harici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temininde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faaliyette bulunan rafinerici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(petrokimya) sahibi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haricinde kalan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temininde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lisans sahiplerinin,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istatistik pozisyonlar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temininde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aranmaz: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Madeni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madeni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faaliyeti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Piyasa faaliyeti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madeni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li </w:t>
      </w:r>
      <w:proofErr w:type="spellStart"/>
      <w:r>
        <w:rPr>
          <w:sz w:val="18"/>
          <w:szCs w:val="18"/>
        </w:rPr>
        <w:t>ihrakiye</w:t>
      </w:r>
      <w:proofErr w:type="spellEnd"/>
      <w:r>
        <w:rPr>
          <w:sz w:val="18"/>
          <w:szCs w:val="18"/>
        </w:rPr>
        <w:t xml:space="preserve"> teslimi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proofErr w:type="spellStart"/>
      <w:r>
        <w:rPr>
          <w:sz w:val="18"/>
          <w:szCs w:val="18"/>
        </w:rPr>
        <w:t>ihrakiye</w:t>
      </w:r>
      <w:proofErr w:type="spellEnd"/>
      <w:r>
        <w:rPr>
          <w:sz w:val="18"/>
          <w:szCs w:val="18"/>
        </w:rPr>
        <w:t xml:space="preserve"> teslimi faaliyeti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hususu ve </w:t>
      </w:r>
      <w:proofErr w:type="spellStart"/>
      <w:r>
        <w:rPr>
          <w:sz w:val="18"/>
          <w:szCs w:val="18"/>
        </w:rPr>
        <w:t>ihrakiye</w:t>
      </w:r>
      <w:proofErr w:type="spellEnd"/>
      <w:r>
        <w:rPr>
          <w:sz w:val="18"/>
          <w:szCs w:val="18"/>
        </w:rPr>
        <w:t xml:space="preserve"> teslimi faaliyeti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madeni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 sahibi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haricinde kalan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temin etmek isteyen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ve gerekli belgelerle birlikte Kuruma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ederler.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aksi belirtilmedik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 gerekli belgelerin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son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noter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tasdikli suretinin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ekinde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Kurum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halen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beyan edilen belgeler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yeniden istenmez.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ilgili mevzuata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halinde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eksikliklerin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giderilmesi, aksi takdirde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sunulan belgelerin iade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bildirilir.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eksiklikler giderilmedi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iade edilir.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Gerekli belgeler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Sanayiciler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bizzat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Kuruma ibraz edilir: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Sanayi sicil belgesi,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Kapasite raporunun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ticaret ve/veya sanayi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 temsil ve ilzama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tatbik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yetkinin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 ve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kimlik bilgilerinin, ikametg</w:t>
      </w:r>
      <w:r>
        <w:rPr>
          <w:sz w:val="18"/>
          <w:szCs w:val="18"/>
        </w:rPr>
        <w:t>â</w:t>
      </w:r>
      <w:r>
        <w:rPr>
          <w:sz w:val="18"/>
          <w:szCs w:val="18"/>
        </w:rPr>
        <w:t>h adresinin, tatbik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imza beyannamesi,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Teyit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(Ek- 4),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gramStart"/>
      <w:r>
        <w:rPr>
          <w:sz w:val="18"/>
          <w:szCs w:val="18"/>
        </w:rPr>
        <w:t>10/8/2005</w:t>
      </w:r>
      <w:proofErr w:type="gramEnd"/>
      <w:r>
        <w:rPr>
          <w:sz w:val="18"/>
          <w:szCs w:val="18"/>
        </w:rPr>
        <w:t xml:space="preserve"> tarihli ve 25902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Ruhsatlar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durumuna uygun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ruhsat,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Temin edilecek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ait son 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fiili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steren, ticaret ve/veya sanayi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belgesinin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ticaret ve/veya sanayi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 (Ek-5).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Sanayiciler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yer alan belgelere ilaveten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Kuruma ibraz edilir: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ya ait oda sicil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sureti,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 ve ilzama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tatbik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yetkinin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Sanayici ve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sanayici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ithalat yapabilece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sanayici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ya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 belgesi (Ek-6).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nceleme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Eksiksiz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inceleme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erlendirmesinde, kapasite raporunda yer alan maddeler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verilecek miktar,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madde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kapasite raporunda yer alan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 Miktar, vardiya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belgelenmesi veya kapasite raporunun </w:t>
      </w:r>
      <w:proofErr w:type="gramStart"/>
      <w:r>
        <w:rPr>
          <w:sz w:val="18"/>
          <w:szCs w:val="18"/>
        </w:rPr>
        <w:t>revizyonu</w:t>
      </w:r>
      <w:proofErr w:type="gramEnd"/>
      <w:r>
        <w:rPr>
          <w:sz w:val="18"/>
          <w:szCs w:val="18"/>
        </w:rPr>
        <w:t xml:space="preserve"> halinde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verilecek miktar, talebi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son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 fiili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belgesinde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mevcut stoklar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lmesi suretiyle belirlenir.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Fiili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belgesinde son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verilecek miktar;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Kapasitenin 1000 tona kadar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kapasitenin %15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Kapasitenin 2000 tona kadar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1000 tonun %15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Kapasitenin 5000 tona kadar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2000 tonun %12,5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Kapasitenin 10000 tona kadar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5000 tonun %8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Kapasitenin 10000 tonun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10000 tonun %5,5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olarak</w:t>
      </w:r>
      <w:proofErr w:type="gramEnd"/>
      <w:r>
        <w:rPr>
          <w:sz w:val="18"/>
          <w:szCs w:val="18"/>
        </w:rPr>
        <w:t xml:space="preserve"> belirlenir.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Talep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verilecek miktar 25 ton ve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ibla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edilir; ibla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leminde 25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proofErr w:type="gramStart"/>
      <w:r>
        <w:rPr>
          <w:sz w:val="18"/>
          <w:szCs w:val="18"/>
        </w:rPr>
        <w:t>12.5</w:t>
      </w:r>
      <w:proofErr w:type="gramEnd"/>
      <w:r>
        <w:rPr>
          <w:sz w:val="18"/>
          <w:szCs w:val="18"/>
        </w:rPr>
        <w:t xml:space="preserve"> ton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ise miktar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kata,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durumlarda ise alt kata ibla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istenebilir.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Daire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reddi durumunda karar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sahibine bildirilir.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Uygunluk yaz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asgari olarak yer alacak hususlar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temin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olan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asgari olarak;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Temini yapacak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Tarife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Pozisyonu,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Teminin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ya 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yer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Kapatma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temin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ve temin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mevcut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 ile ithalat yapacak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imzalanan denetim ve tasdik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ve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avirin faaliyet belgesinin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Ek-7 ve eklerinde yer alan tablolar kapatma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Kuruma ibraz edilir.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 ve iade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Kurumca verilen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31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mesai bitimine kadard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bitiminden itibaren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o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verilen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Kuruma iade edilir.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Tadil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bilginin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halinde, bu durumun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erisinde,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 ve belgelerle birlikte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bulunarak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tadilini talep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hususlardaki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talepleri,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ile istenen bilgi ve belgelerin Kuruma ibraz edilmesi halinde Daire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Sona erme ve iptal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sahibinin iflas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sona ermesi,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talebi halinde,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aranan bir belgenin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sonradan yitirdi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zerine,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Daire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sona erdirilir.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temin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Kurum ya da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tespiti halinde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iptal edilir.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Yurt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 sat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bildirimi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istatistik pozisyonu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iler,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Ek-2 listede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ine kadarki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 sonuna,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inden sonuna kadarki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takip eden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ine kadar Kuruma bildirmekle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 </w:t>
      </w:r>
      <w:proofErr w:type="gramEnd"/>
      <w:r>
        <w:rPr>
          <w:sz w:val="18"/>
          <w:szCs w:val="18"/>
        </w:rPr>
        <w:t>Bildirimler;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 ve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fatura tarih ve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Tarife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Pozisyonu,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Ek-8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tablo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1/7/2013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B50D3A" w:rsidRDefault="00B50D3A" w:rsidP="00B50D3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50D3A" w:rsidRDefault="00B50D3A" w:rsidP="00B50D3A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B50D3A" w:rsidRDefault="00B50D3A" w:rsidP="00B50D3A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  <w:u w:val="none"/>
          </w:rPr>
          <w:t>Tebli</w:t>
        </w:r>
        <w:r>
          <w:rPr>
            <w:rStyle w:val="Kpr"/>
            <w:b/>
            <w:bCs/>
            <w:sz w:val="18"/>
            <w:szCs w:val="18"/>
            <w:u w:val="none"/>
          </w:rPr>
          <w:t>ğ</w:t>
        </w:r>
        <w:r>
          <w:rPr>
            <w:rStyle w:val="Kpr"/>
            <w:b/>
            <w:bCs/>
            <w:sz w:val="18"/>
            <w:szCs w:val="18"/>
            <w:u w:val="none"/>
          </w:rPr>
          <w:t>in Ekleri</w:t>
        </w:r>
      </w:hyperlink>
    </w:p>
    <w:p w:rsidR="00B50D3A" w:rsidRPr="00EB651E" w:rsidRDefault="00B50D3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50D3A" w:rsidRPr="00EB651E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C0E" w:rsidRDefault="00B73C0E" w:rsidP="00405B55">
      <w:pPr>
        <w:spacing w:after="0" w:line="240" w:lineRule="auto"/>
      </w:pPr>
      <w:r>
        <w:separator/>
      </w:r>
    </w:p>
  </w:endnote>
  <w:endnote w:type="continuationSeparator" w:id="0">
    <w:p w:rsidR="00B73C0E" w:rsidRDefault="00B73C0E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4A1424">
        <w:pPr>
          <w:pStyle w:val="Altbilgi"/>
          <w:jc w:val="center"/>
        </w:pPr>
        <w:fldSimple w:instr=" PAGE   \* MERGEFORMAT ">
          <w:r w:rsidR="00B50D3A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C0E" w:rsidRDefault="00B73C0E" w:rsidP="00405B55">
      <w:pPr>
        <w:spacing w:after="0" w:line="240" w:lineRule="auto"/>
      </w:pPr>
      <w:r>
        <w:separator/>
      </w:r>
    </w:p>
  </w:footnote>
  <w:footnote w:type="continuationSeparator" w:id="0">
    <w:p w:rsidR="00B73C0E" w:rsidRDefault="00B73C0E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77F3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54C31"/>
    <w:rsid w:val="00675F5C"/>
    <w:rsid w:val="00675F74"/>
    <w:rsid w:val="00681E0A"/>
    <w:rsid w:val="00686CC2"/>
    <w:rsid w:val="006A22BA"/>
    <w:rsid w:val="006B0681"/>
    <w:rsid w:val="006E556D"/>
    <w:rsid w:val="006F662A"/>
    <w:rsid w:val="006F7D31"/>
    <w:rsid w:val="00706AFC"/>
    <w:rsid w:val="00716999"/>
    <w:rsid w:val="0073019D"/>
    <w:rsid w:val="00743374"/>
    <w:rsid w:val="00750C98"/>
    <w:rsid w:val="0075602A"/>
    <w:rsid w:val="0076633F"/>
    <w:rsid w:val="007716A4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426CE"/>
    <w:rsid w:val="0084280B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50D3A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4/20130424-16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1544</Words>
  <Characters>8805</Characters>
  <Application>Microsoft Office Word</Application>
  <DocSecurity>0</DocSecurity>
  <Lines>73</Lines>
  <Paragraphs>20</Paragraphs>
  <ScaleCrop>false</ScaleCrop>
  <Company>TURMOB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272</cp:revision>
  <cp:lastPrinted>2013-01-07T06:33:00Z</cp:lastPrinted>
  <dcterms:created xsi:type="dcterms:W3CDTF">2013-01-02T06:53:00Z</dcterms:created>
  <dcterms:modified xsi:type="dcterms:W3CDTF">2013-04-24T05:51:00Z</dcterms:modified>
</cp:coreProperties>
</file>