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B50D3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28627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822C1" w:rsidRDefault="007822C1" w:rsidP="007822C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Odalar ve Borsalar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inden:</w:t>
      </w:r>
    </w:p>
    <w:p w:rsidR="007822C1" w:rsidRDefault="007822C1" w:rsidP="007822C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 ODALAR VE BORSALAR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 ODALAR VE BORSALAR</w:t>
      </w:r>
    </w:p>
    <w:p w:rsidR="007822C1" w:rsidRDefault="007822C1" w:rsidP="007822C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ORGAN SE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MLER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KTE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7822C1" w:rsidRDefault="007822C1" w:rsidP="007822C1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19/1/2005</w:t>
      </w:r>
      <w:proofErr w:type="gramEnd"/>
      <w:r>
        <w:rPr>
          <w:sz w:val="18"/>
          <w:szCs w:val="18"/>
        </w:rPr>
        <w:t xml:space="preserve"> tarihli ve 25705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Odalar ve Borsalar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Odalar ve Borsalar Organ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Sanayi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ile ikinci ve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c)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temsilcileri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meye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temsil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yapmaya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ticaret siciline tescil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olmak,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ra;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Ticaret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irketlerinde,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orta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ve/veya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temsil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yapmaya yetkili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Ticaret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letmelerde,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temsilcinin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letmeyi temsil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yapmaya yetkili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letmelerde ticaret siciline tescil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temsilcinin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letmeyi temsil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yapmaya yetkili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artlar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 temsile yetkili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“Ü</w:t>
      </w:r>
      <w:r>
        <w:rPr>
          <w:sz w:val="18"/>
          <w:szCs w:val="18"/>
        </w:rPr>
        <w:t xml:space="preserve">ye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nfesih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kendili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oda ve borsa organ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imlerinde oy kullanamaz.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dokuzuncu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ra;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Ticaret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irketlerinde,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orta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ve/veya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temsil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yapmaya yetkili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Ticaret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letmelerde,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temsilcinin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sahibi veya temsilcisi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letmeyi temsil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yapmaya yetkili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letmelerde ticaret siciline tescil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temsilcinin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letmeyi temsil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yapmaya yetkili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(a), (b) ve (c) bentlerinde belirtilen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imden en az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ncesini kapsamas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artlar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 temsile yetkili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Temsil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yapmaya yetkili temsilcinin, yetki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sona ermesi halinde,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temsilcinin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kesinti olsa dahi kendisinden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temsilci yetkilendirilmeden yeniden yetkili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 yetkinin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tarihinden en az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ncesini kapsad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kabul edilir.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“Ü</w:t>
      </w:r>
      <w:r>
        <w:rPr>
          <w:sz w:val="18"/>
          <w:szCs w:val="18"/>
        </w:rPr>
        <w:t xml:space="preserve">ye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nfesih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kendili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oda ve borsa organlar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ilemez.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tesels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ettirilmi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birden fazla ili kapsayan deniz ticaret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meslek grubu kurulabilmesi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gereken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te bir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indirilerek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meslek grubu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te bir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indirilerek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 uncu maddesinin son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Meslek komitesi ve meclis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kendilerini temsil edecek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ilerle ilgili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bildirimi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yapmalar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bildirilen temsilcinin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tevsik eden ticaret sicili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yetki belgesini bildirime eklemeleri zorunludur.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18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tesels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ettirilmi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temsilcisi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ilerin, temsil ettikleri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tescilli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temsil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 yetkisine sahip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sureti veya ticaret sicil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doksan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yetki belgesinin oy kullanma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ibraz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braz edilen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bir fotokopisi oy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teslim edilir. Ticaret sicil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klerince organ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doksan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oda ve borsa organ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aylarda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tasdik edilen bu belgelerden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hizmet bedeli tahsil edilmez.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ilerin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temsilcisi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usullere uygun olarak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zenlenir;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Yetki belgesi talepleri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bir temsilci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yetkiye sahip temsilciler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hangi temsilci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ede belirtilir ve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yetkililerce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nferit yetkiye sahip birden fazla temsilci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imzalanabilece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nferit yetkiye sahip temsilcilerden biri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 imzalanabilir.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nferit yetkililerden ilk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vurana yetki belgesi verilir.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yetki belgesi iade edilmedik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yeni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zenlenmez. Yetki belgesinin zayi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i/ki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talep edilmesi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yeni bir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Zayi olan yetki belgesinin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temsilci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zenlenmesinin talep edilmesi halinde,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temsil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 yetkisine sahip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temsilciler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nfesih, tasfiye haline girmi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iflas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temsilcileri ile adi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organ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zenlenmez.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ilerin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temsilcilerinin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 ile oy kullanmas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usullere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r;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temsilcisi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oy kullanma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temsil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 yetkisine sahip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noter tasdikli sureti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sand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ibraz edilerek fotokopisi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sand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nferiden yetkili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nanlardan ilk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vurana oy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lerinde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temsil yetkisi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yetkilendirilen temsilciler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oy kullanacak temsilciyi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tereken yetkilendirilen temsilcilerin imza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lerde yer almamas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eyi imzalayan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temsilcilerin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fotokopileri de sand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nfesih, tasfiye haline girmi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iflas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temsilcileri oy kullanamazlar.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alan meclis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yelikleri,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yelerle doldurulamazsa;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alan meclis asil ve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yelikleri, bu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alan meclis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ilgili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meslek komitesi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ilgili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meslek grubu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yelerle doldurulur.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ve (e) bentleri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(g)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g)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imlere bizzat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ederler.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ve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leten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ramazlar.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madde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(g)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822C1" w:rsidRDefault="007822C1" w:rsidP="007822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Ger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ek ve 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zel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ilerin Organlarda Temsili</w:t>
      </w:r>
      <w:r>
        <w:rPr>
          <w:b/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g)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temsilcisinin temsil yetkisini kaybetti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temsilcisini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iradesinin odaya ve borsaya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hallerde temsilcinin,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disiplin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Genel Kurul delegeli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meclis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ve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meclis </w:t>
      </w:r>
      <w:proofErr w:type="gramStart"/>
      <w:r>
        <w:rPr>
          <w:sz w:val="18"/>
          <w:szCs w:val="18"/>
        </w:rPr>
        <w:t>katipli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proofErr w:type="gramEnd"/>
      <w:r>
        <w:rPr>
          <w:sz w:val="18"/>
          <w:szCs w:val="18"/>
        </w:rPr>
        <w:t>, meslek komitesi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ve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son bulur. Ancak,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ilik meslek komitesi ve meclis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muhafaza eder.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alan delege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yeliklerin yerine geri kalan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reyi tamamlamak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yedek delege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Meslek komitesi ile meclis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muhafaza eden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kendilerini temsil edecek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ismini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oda ve borsaya bildirir.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ekinde,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tevsik eden ticaret sicili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yetki belgesi de verilir.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bu belgelerin ibraz edilmemesi durumunda,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meslek komitesi veya meclis asil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k)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nfesih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 veya merkez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oda ya da borsan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 ile birlikte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oda, borsa ve Birlik organlar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kendili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sona erer.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maddeler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ici 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Kanunun 83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en az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s-Haziran 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oda ve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organ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imlerinde aranmaz.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ici 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Kanunun 84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Ekim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gereken, ancak Bakanlar Kurulunun </w:t>
      </w:r>
      <w:proofErr w:type="gramStart"/>
      <w:r>
        <w:rPr>
          <w:sz w:val="18"/>
          <w:szCs w:val="18"/>
        </w:rPr>
        <w:t>4/6/2012</w:t>
      </w:r>
      <w:proofErr w:type="gramEnd"/>
      <w:r>
        <w:rPr>
          <w:sz w:val="18"/>
          <w:szCs w:val="18"/>
        </w:rPr>
        <w:t xml:space="preserve"> tarihli ve 2012/3237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ubat-Mart 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ertelenen oda ve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organ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imlerinde oy kullanmak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yetki belgeleri,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vuruya dair usule tabi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Ticaret Sicil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klerince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yetkinin devam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Bakanlar Kurulunun 28/1/2013 tarihli ve 2013/4244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yeniden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s-Haziran 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ertelenen oda ve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organ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7822C1" w:rsidRDefault="007822C1" w:rsidP="007822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Odalar ve Borsalar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7822C1" w:rsidRDefault="007822C1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822C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0E" w:rsidRDefault="00831A0E" w:rsidP="00405B55">
      <w:pPr>
        <w:spacing w:after="0" w:line="240" w:lineRule="auto"/>
      </w:pPr>
      <w:r>
        <w:separator/>
      </w:r>
    </w:p>
  </w:endnote>
  <w:endnote w:type="continuationSeparator" w:id="0">
    <w:p w:rsidR="00831A0E" w:rsidRDefault="00831A0E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1D6BF1">
        <w:pPr>
          <w:pStyle w:val="Altbilgi"/>
          <w:jc w:val="center"/>
        </w:pPr>
        <w:fldSimple w:instr=" PAGE   \* MERGEFORMAT ">
          <w:r w:rsidR="007822C1">
            <w:rPr>
              <w:noProof/>
            </w:rPr>
            <w:t>2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0E" w:rsidRDefault="00831A0E" w:rsidP="00405B55">
      <w:pPr>
        <w:spacing w:after="0" w:line="240" w:lineRule="auto"/>
      </w:pPr>
      <w:r>
        <w:separator/>
      </w:r>
    </w:p>
  </w:footnote>
  <w:footnote w:type="continuationSeparator" w:id="0">
    <w:p w:rsidR="00831A0E" w:rsidRDefault="00831A0E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77F3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54C31"/>
    <w:rsid w:val="00675F5C"/>
    <w:rsid w:val="00675F74"/>
    <w:rsid w:val="00681E0A"/>
    <w:rsid w:val="00686CC2"/>
    <w:rsid w:val="006A22BA"/>
    <w:rsid w:val="006B0681"/>
    <w:rsid w:val="006E556D"/>
    <w:rsid w:val="006F662A"/>
    <w:rsid w:val="006F7D31"/>
    <w:rsid w:val="00706AFC"/>
    <w:rsid w:val="00716999"/>
    <w:rsid w:val="0073019D"/>
    <w:rsid w:val="00743374"/>
    <w:rsid w:val="00750C98"/>
    <w:rsid w:val="0075602A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1A0E"/>
    <w:rsid w:val="008426CE"/>
    <w:rsid w:val="0084280B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50D3A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1573</Words>
  <Characters>8967</Characters>
  <Application>Microsoft Office Word</Application>
  <DocSecurity>0</DocSecurity>
  <Lines>74</Lines>
  <Paragraphs>21</Paragraphs>
  <ScaleCrop>false</ScaleCrop>
  <Company>TURMOB</Company>
  <LinksUpToDate>false</LinksUpToDate>
  <CharactersWithSpaces>10519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274</cp:revision>
  <cp:lastPrinted>2013-01-07T06:33:00Z</cp:lastPrinted>
  <dcterms:created xsi:type="dcterms:W3CDTF">2013-01-02T06:53:00Z</dcterms:created>
  <dcterms:modified xsi:type="dcterms:W3CDTF">2013-04-24T05:53:00Z</dcterms:modified>
</cp:coreProperties>
</file>