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B651E" w:rsidRDefault="004606CD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DF22A9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28628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606CD" w:rsidRDefault="004606CD" w:rsidP="004606CD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Bilim, Sanayi ve Teknoloji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4606CD" w:rsidRDefault="004606CD" w:rsidP="004606C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Ş</w:t>
      </w:r>
      <w:r>
        <w:rPr>
          <w:sz w:val="18"/>
          <w:szCs w:val="18"/>
        </w:rPr>
        <w:t>EKER KOTALARININ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KTE</w:t>
      </w:r>
    </w:p>
    <w:p w:rsidR="004606CD" w:rsidRDefault="004606CD" w:rsidP="004606CD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1/4/2002</w:t>
      </w:r>
      <w:proofErr w:type="gramEnd"/>
      <w:r>
        <w:rPr>
          <w:sz w:val="18"/>
          <w:szCs w:val="18"/>
        </w:rPr>
        <w:t xml:space="preserve"> tarihli ve 24713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eker Kotalar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zenlenmesine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yeni kota tahsisi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 bu konulardaki uygulaman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denetim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maddeleri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ile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(m)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ham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5 inci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Yeni fabrika kurulabilmesi ve/veya mevcut fabrikalar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kapasitelerini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kota temin etmeleri zorunludur. Kurul kota temin taleplerini,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lkedeki toplam kurulu kapasite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eker arz talep dengesini dikkate alarak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erlendirir. Bu konudaki Kurul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ilgiliye bildirilir.</w:t>
      </w:r>
      <w:r>
        <w:rPr>
          <w:sz w:val="18"/>
          <w:szCs w:val="18"/>
        </w:rPr>
        <w:t>”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her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eker cinsi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ve hammaddesi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istenen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ilk iki haftas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15 inci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 kadar Kurumca talep edilen usul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ile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sonraki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tesels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ettirilmi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  <w:proofErr w:type="gramEnd"/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Kamu iktisadi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sz w:val="18"/>
          <w:szCs w:val="18"/>
        </w:rPr>
        <w:t>ü</w:t>
      </w:r>
      <w:r>
        <w:rPr>
          <w:sz w:val="18"/>
          <w:szCs w:val="18"/>
        </w:rPr>
        <w:t>sleri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irketler, her pazarlama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hammadde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elde edilen son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kota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stok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bilgi ve verilerini takip eden ekim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yeminli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 raporu ile Kuruma ibraz ederler. Raporda yer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hususlar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asta </w:t>
      </w:r>
      <w:proofErr w:type="gramStart"/>
      <w:r>
        <w:rPr>
          <w:sz w:val="18"/>
          <w:szCs w:val="18"/>
        </w:rPr>
        <w:t>bazl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ekerler ile sakaroz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kenli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v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retimi yapan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 fabrikalar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 esas noktalar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tlesel debimetre tesis edilir.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asta </w:t>
      </w:r>
      <w:proofErr w:type="gramStart"/>
      <w:r>
        <w:rPr>
          <w:sz w:val="18"/>
          <w:szCs w:val="18"/>
        </w:rPr>
        <w:t>bazl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irketler, fabrikalar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her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elde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proofErr w:type="spellStart"/>
      <w:r>
        <w:rPr>
          <w:sz w:val="18"/>
          <w:szCs w:val="18"/>
        </w:rPr>
        <w:t>evaporasyon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nitesi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na, </w:t>
      </w:r>
      <w:proofErr w:type="spellStart"/>
      <w:r>
        <w:rPr>
          <w:sz w:val="18"/>
          <w:szCs w:val="18"/>
        </w:rPr>
        <w:t>glukoz</w:t>
      </w:r>
      <w:proofErr w:type="spellEnd"/>
      <w:r>
        <w:rPr>
          <w:sz w:val="18"/>
          <w:szCs w:val="18"/>
        </w:rPr>
        <w:t xml:space="preserve"> ve </w:t>
      </w:r>
      <w:proofErr w:type="spellStart"/>
      <w:r>
        <w:rPr>
          <w:sz w:val="18"/>
          <w:szCs w:val="18"/>
        </w:rPr>
        <w:t>fruktoz</w:t>
      </w:r>
      <w:proofErr w:type="spellEnd"/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maddesi ilavesi gibi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tlesel debimetre tesis ederler. Debimetre tesisi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 denetimi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Debimetreler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len miktarlar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talep edilen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 ve usulde Kuruma bildirilir. Debimetrelerin tipi, hassasiyeti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ile tesisi,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letilmesi, izlenmesi,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Kurul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Debimetrelerden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len miktarlar ile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 esas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ve stok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%5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klanamayan her bir kilogram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ekerin A kotas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kabul edilerek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irketlere Kanunun 11 inci maddesi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 inci maddesinin ilk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maddeye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Kanunla verilen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ndan;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ve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nyesindeki fabrikalar ile piyasada mal veya hizmet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reten, pazarlayan, satan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nezdinde,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denetim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labilir.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ve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nyesindeki fabrikalar nezdinde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lda en az bir defa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denetimde bulunulur. Denetimlerde hammadde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elde edilen son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birbiriyle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tlarla uyumu denetlenir. Denetim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denetlenenlere ait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cihazlar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labilir,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emtia incelenebilir, numune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nabilir,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labilir.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ve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nyesindeki fabrikalarda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ve denetim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teknolojik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suretiyle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  <w:r>
        <w:rPr>
          <w:sz w:val="18"/>
          <w:szCs w:val="18"/>
        </w:rPr>
        <w:t>”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Kurum,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yapmaya yetkilidir.</w:t>
      </w:r>
      <w:r>
        <w:rPr>
          <w:sz w:val="18"/>
          <w:szCs w:val="18"/>
        </w:rPr>
        <w:t>”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madde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4606CD" w:rsidRDefault="004606CD" w:rsidP="004606C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Debimetre Tesisi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ici 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asta </w:t>
      </w:r>
      <w:proofErr w:type="gramStart"/>
      <w:r>
        <w:rPr>
          <w:sz w:val="18"/>
          <w:szCs w:val="18"/>
        </w:rPr>
        <w:t>bazl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reticisi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irketler,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debimetreleri bu maddenin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tesis ederler.</w:t>
      </w:r>
      <w:r>
        <w:rPr>
          <w:sz w:val="18"/>
          <w:szCs w:val="18"/>
        </w:rPr>
        <w:t>”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4606CD" w:rsidRDefault="004606CD" w:rsidP="004606C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eker Kurulu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4606CD" w:rsidRDefault="004606CD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606C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7F5" w:rsidRDefault="008307F5" w:rsidP="00405B55">
      <w:pPr>
        <w:spacing w:after="0" w:line="240" w:lineRule="auto"/>
      </w:pPr>
      <w:r>
        <w:separator/>
      </w:r>
    </w:p>
  </w:endnote>
  <w:endnote w:type="continuationSeparator" w:id="0">
    <w:p w:rsidR="008307F5" w:rsidRDefault="008307F5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5C2264">
        <w:pPr>
          <w:pStyle w:val="Altbilgi"/>
          <w:jc w:val="center"/>
        </w:pPr>
        <w:fldSimple w:instr=" PAGE   \* MERGEFORMAT ">
          <w:r w:rsidR="004606CD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7F5" w:rsidRDefault="008307F5" w:rsidP="00405B55">
      <w:pPr>
        <w:spacing w:after="0" w:line="240" w:lineRule="auto"/>
      </w:pPr>
      <w:r>
        <w:separator/>
      </w:r>
    </w:p>
  </w:footnote>
  <w:footnote w:type="continuationSeparator" w:id="0">
    <w:p w:rsidR="008307F5" w:rsidRDefault="008307F5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606CD"/>
    <w:rsid w:val="00476187"/>
    <w:rsid w:val="004814E7"/>
    <w:rsid w:val="00481C05"/>
    <w:rsid w:val="0049683C"/>
    <w:rsid w:val="004A1424"/>
    <w:rsid w:val="004B52F5"/>
    <w:rsid w:val="004D6CD7"/>
    <w:rsid w:val="004E1C0B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6FF2"/>
    <w:rsid w:val="005A77F3"/>
    <w:rsid w:val="005A79FB"/>
    <w:rsid w:val="005B2FA3"/>
    <w:rsid w:val="005B42A5"/>
    <w:rsid w:val="005C2264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4719E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02F4"/>
    <w:rsid w:val="006F662A"/>
    <w:rsid w:val="006F7D31"/>
    <w:rsid w:val="00706AFC"/>
    <w:rsid w:val="00716999"/>
    <w:rsid w:val="0073019D"/>
    <w:rsid w:val="00743374"/>
    <w:rsid w:val="00750C98"/>
    <w:rsid w:val="0075602A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639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3A0C"/>
    <w:rsid w:val="00B04F4B"/>
    <w:rsid w:val="00B1197C"/>
    <w:rsid w:val="00B25D28"/>
    <w:rsid w:val="00B315A5"/>
    <w:rsid w:val="00B50D3A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662</Words>
  <Characters>3778</Characters>
  <Application>Microsoft Office Word</Application>
  <DocSecurity>0</DocSecurity>
  <Lines>31</Lines>
  <Paragraphs>8</Paragraphs>
  <ScaleCrop>false</ScaleCrop>
  <Company>TURMOB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282</cp:revision>
  <cp:lastPrinted>2013-01-07T06:33:00Z</cp:lastPrinted>
  <dcterms:created xsi:type="dcterms:W3CDTF">2013-01-02T06:53:00Z</dcterms:created>
  <dcterms:modified xsi:type="dcterms:W3CDTF">2013-04-25T05:31:00Z</dcterms:modified>
</cp:coreProperties>
</file>