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917E7" w:rsidRDefault="005917E7" w:rsidP="00EB651E">
      <w:pPr>
        <w:spacing w:after="0" w:line="280" w:lineRule="atLeast"/>
        <w:rPr>
          <w:rFonts w:ascii="Times New Roman" w:hAnsi="Times New Roman" w:cs="Times New Roman"/>
          <w:b/>
          <w:sz w:val="20"/>
          <w:szCs w:val="20"/>
          <w:u w:val="single"/>
        </w:rPr>
      </w:pPr>
      <w:r w:rsidRPr="005917E7">
        <w:rPr>
          <w:rFonts w:ascii="Times New Roman" w:hAnsi="Times New Roman" w:cs="Times New Roman"/>
          <w:b/>
          <w:sz w:val="20"/>
          <w:szCs w:val="20"/>
          <w:u w:val="single"/>
        </w:rPr>
        <w:t>12</w:t>
      </w:r>
      <w:r w:rsidR="00D53EE2" w:rsidRPr="005917E7">
        <w:rPr>
          <w:rFonts w:ascii="Times New Roman" w:hAnsi="Times New Roman" w:cs="Times New Roman"/>
          <w:b/>
          <w:sz w:val="20"/>
          <w:szCs w:val="20"/>
          <w:u w:val="single"/>
        </w:rPr>
        <w:t xml:space="preserve"> Mayıs</w:t>
      </w:r>
      <w:r w:rsidR="0049683C" w:rsidRPr="005917E7">
        <w:rPr>
          <w:rFonts w:ascii="Times New Roman" w:hAnsi="Times New Roman" w:cs="Times New Roman"/>
          <w:b/>
          <w:sz w:val="20"/>
          <w:szCs w:val="20"/>
          <w:u w:val="single"/>
        </w:rPr>
        <w:t xml:space="preserve"> 2013,</w:t>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ab/>
      </w:r>
      <w:r w:rsidR="00317A78" w:rsidRPr="005917E7">
        <w:rPr>
          <w:rFonts w:ascii="Times New Roman" w:hAnsi="Times New Roman" w:cs="Times New Roman"/>
          <w:b/>
          <w:sz w:val="20"/>
          <w:szCs w:val="20"/>
          <w:u w:val="single"/>
        </w:rPr>
        <w:tab/>
      </w:r>
      <w:r w:rsidR="0049683C" w:rsidRPr="005917E7">
        <w:rPr>
          <w:rFonts w:ascii="Times New Roman" w:hAnsi="Times New Roman" w:cs="Times New Roman"/>
          <w:b/>
          <w:sz w:val="20"/>
          <w:szCs w:val="20"/>
          <w:u w:val="single"/>
        </w:rPr>
        <w:t xml:space="preserve">   </w:t>
      </w:r>
      <w:r w:rsidR="004516C8" w:rsidRPr="005917E7">
        <w:rPr>
          <w:rFonts w:ascii="Times New Roman" w:hAnsi="Times New Roman" w:cs="Times New Roman"/>
          <w:b/>
          <w:sz w:val="20"/>
          <w:szCs w:val="20"/>
          <w:u w:val="single"/>
        </w:rPr>
        <w:t xml:space="preserve">      </w:t>
      </w:r>
      <w:r w:rsidR="00C23B86" w:rsidRPr="005917E7">
        <w:rPr>
          <w:rFonts w:ascii="Times New Roman" w:hAnsi="Times New Roman" w:cs="Times New Roman"/>
          <w:b/>
          <w:sz w:val="20"/>
          <w:szCs w:val="20"/>
          <w:u w:val="single"/>
        </w:rPr>
        <w:t xml:space="preserve">    </w:t>
      </w:r>
      <w:proofErr w:type="gramStart"/>
      <w:r w:rsidR="00C23B86" w:rsidRPr="005917E7">
        <w:rPr>
          <w:rFonts w:ascii="Times New Roman" w:hAnsi="Times New Roman" w:cs="Times New Roman"/>
          <w:b/>
          <w:sz w:val="20"/>
          <w:szCs w:val="20"/>
          <w:u w:val="single"/>
        </w:rPr>
        <w:t>Sayı : 286</w:t>
      </w:r>
      <w:r w:rsidRPr="005917E7">
        <w:rPr>
          <w:rFonts w:ascii="Times New Roman" w:hAnsi="Times New Roman" w:cs="Times New Roman"/>
          <w:b/>
          <w:sz w:val="20"/>
          <w:szCs w:val="20"/>
          <w:u w:val="single"/>
        </w:rPr>
        <w:t>45</w:t>
      </w:r>
      <w:proofErr w:type="gramEnd"/>
    </w:p>
    <w:p w:rsidR="00513DFA" w:rsidRPr="005917E7" w:rsidRDefault="00513DFA" w:rsidP="00EB651E">
      <w:pPr>
        <w:spacing w:after="0" w:line="280" w:lineRule="atLeast"/>
        <w:rPr>
          <w:rFonts w:ascii="Times New Roman" w:hAnsi="Times New Roman" w:cs="Times New Roman"/>
          <w:b/>
          <w:sz w:val="20"/>
          <w:szCs w:val="20"/>
          <w:u w:val="single"/>
        </w:rPr>
      </w:pP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Anayasa Mahkemesi Başkanlığından:</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Gl"/>
          <w:rFonts w:ascii="Times New Roman" w:hAnsi="Times New Roman" w:cs="Times New Roman"/>
          <w:sz w:val="20"/>
          <w:szCs w:val="20"/>
        </w:rPr>
        <w:t xml:space="preserve">Esas </w:t>
      </w:r>
      <w:proofErr w:type="gramStart"/>
      <w:r w:rsidRPr="005917E7">
        <w:rPr>
          <w:rStyle w:val="Gl"/>
          <w:rFonts w:ascii="Times New Roman" w:hAnsi="Times New Roman" w:cs="Times New Roman"/>
          <w:sz w:val="20"/>
          <w:szCs w:val="20"/>
        </w:rPr>
        <w:t>Sayısı    : 2012</w:t>
      </w:r>
      <w:proofErr w:type="gramEnd"/>
      <w:r w:rsidRPr="005917E7">
        <w:rPr>
          <w:rStyle w:val="Gl"/>
          <w:rFonts w:ascii="Times New Roman" w:hAnsi="Times New Roman" w:cs="Times New Roman"/>
          <w:sz w:val="20"/>
          <w:szCs w:val="20"/>
        </w:rPr>
        <w:t>/40</w:t>
      </w:r>
    </w:p>
    <w:p w:rsidR="005917E7" w:rsidRPr="005917E7" w:rsidRDefault="005917E7" w:rsidP="005917E7">
      <w:pPr>
        <w:jc w:val="both"/>
        <w:rPr>
          <w:rFonts w:ascii="Times New Roman" w:hAnsi="Times New Roman" w:cs="Times New Roman"/>
          <w:sz w:val="20"/>
          <w:szCs w:val="20"/>
        </w:rPr>
      </w:pPr>
      <w:r w:rsidRPr="005917E7">
        <w:rPr>
          <w:rStyle w:val="Gl"/>
          <w:rFonts w:ascii="Times New Roman" w:hAnsi="Times New Roman" w:cs="Times New Roman"/>
          <w:sz w:val="20"/>
          <w:szCs w:val="20"/>
        </w:rPr>
        <w:t xml:space="preserve">Karar </w:t>
      </w:r>
      <w:proofErr w:type="gramStart"/>
      <w:r w:rsidRPr="005917E7">
        <w:rPr>
          <w:rStyle w:val="Gl"/>
          <w:rFonts w:ascii="Times New Roman" w:hAnsi="Times New Roman" w:cs="Times New Roman"/>
          <w:sz w:val="20"/>
          <w:szCs w:val="20"/>
        </w:rPr>
        <w:t>Sayısı  : 2012</w:t>
      </w:r>
      <w:proofErr w:type="gramEnd"/>
      <w:r w:rsidRPr="005917E7">
        <w:rPr>
          <w:rStyle w:val="Gl"/>
          <w:rFonts w:ascii="Times New Roman" w:hAnsi="Times New Roman" w:cs="Times New Roman"/>
          <w:sz w:val="20"/>
          <w:szCs w:val="20"/>
        </w:rPr>
        <w:t>/158</w:t>
      </w:r>
    </w:p>
    <w:p w:rsidR="005917E7" w:rsidRPr="005917E7" w:rsidRDefault="005917E7" w:rsidP="005917E7">
      <w:pPr>
        <w:jc w:val="both"/>
        <w:rPr>
          <w:rFonts w:ascii="Times New Roman" w:hAnsi="Times New Roman" w:cs="Times New Roman"/>
          <w:sz w:val="20"/>
          <w:szCs w:val="20"/>
        </w:rPr>
      </w:pPr>
      <w:r w:rsidRPr="005917E7">
        <w:rPr>
          <w:rStyle w:val="Gl"/>
          <w:rFonts w:ascii="Times New Roman" w:hAnsi="Times New Roman" w:cs="Times New Roman"/>
          <w:sz w:val="20"/>
          <w:szCs w:val="20"/>
        </w:rPr>
        <w:t xml:space="preserve">Karar </w:t>
      </w:r>
      <w:proofErr w:type="gramStart"/>
      <w:r w:rsidRPr="005917E7">
        <w:rPr>
          <w:rStyle w:val="Gl"/>
          <w:rFonts w:ascii="Times New Roman" w:hAnsi="Times New Roman" w:cs="Times New Roman"/>
          <w:sz w:val="20"/>
          <w:szCs w:val="20"/>
        </w:rPr>
        <w:t>Günü  : 18</w:t>
      </w:r>
      <w:proofErr w:type="gramEnd"/>
      <w:r w:rsidRPr="005917E7">
        <w:rPr>
          <w:rStyle w:val="Gl"/>
          <w:rFonts w:ascii="Times New Roman" w:hAnsi="Times New Roman" w:cs="Times New Roman"/>
          <w:sz w:val="20"/>
          <w:szCs w:val="20"/>
        </w:rPr>
        <w:t>.10.2012</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
    <w:p w:rsidR="005917E7" w:rsidRPr="005917E7" w:rsidRDefault="005917E7" w:rsidP="005917E7">
      <w:pPr>
        <w:jc w:val="both"/>
        <w:rPr>
          <w:rFonts w:ascii="Times New Roman" w:hAnsi="Times New Roman" w:cs="Times New Roman"/>
          <w:sz w:val="20"/>
          <w:szCs w:val="20"/>
        </w:rPr>
      </w:pPr>
      <w:r w:rsidRPr="005917E7">
        <w:rPr>
          <w:rStyle w:val="Gl"/>
          <w:rFonts w:ascii="Times New Roman" w:hAnsi="Times New Roman" w:cs="Times New Roman"/>
          <w:sz w:val="20"/>
          <w:szCs w:val="20"/>
        </w:rPr>
        <w:t xml:space="preserve">İTİRAZ YOLUNA </w:t>
      </w:r>
      <w:proofErr w:type="gramStart"/>
      <w:r w:rsidRPr="005917E7">
        <w:rPr>
          <w:rStyle w:val="Gl"/>
          <w:rFonts w:ascii="Times New Roman" w:hAnsi="Times New Roman" w:cs="Times New Roman"/>
          <w:sz w:val="20"/>
          <w:szCs w:val="20"/>
        </w:rPr>
        <w:t>BAŞVURAN : Yargıtay</w:t>
      </w:r>
      <w:proofErr w:type="gramEnd"/>
      <w:r w:rsidRPr="005917E7">
        <w:rPr>
          <w:rFonts w:ascii="Times New Roman" w:hAnsi="Times New Roman" w:cs="Times New Roman"/>
          <w:sz w:val="20"/>
          <w:szCs w:val="20"/>
        </w:rPr>
        <w:t xml:space="preserve"> 22. Hukuk Dairesi</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Gl"/>
          <w:rFonts w:ascii="Times New Roman" w:hAnsi="Times New Roman" w:cs="Times New Roman"/>
          <w:sz w:val="20"/>
          <w:szCs w:val="20"/>
        </w:rPr>
        <w:t>İTİRAZIN KONUSU :</w:t>
      </w:r>
      <w:r w:rsidRPr="005917E7">
        <w:rPr>
          <w:rFonts w:ascii="Times New Roman" w:hAnsi="Times New Roman" w:cs="Times New Roman"/>
          <w:sz w:val="20"/>
          <w:szCs w:val="20"/>
        </w:rPr>
        <w:t xml:space="preserve"> 22.5.2003 günlü, 4857 sayılı İş Kanunu’nun 3. maddesinin, 15.5.2008 günlü, 5763 sayılı Kanun’un 1. maddesiyle değiştirilen ikinci fıkrasının </w:t>
      </w:r>
      <w:r w:rsidRPr="005917E7">
        <w:rPr>
          <w:rStyle w:val="Vurgu"/>
          <w:rFonts w:ascii="Times New Roman" w:hAnsi="Times New Roman" w:cs="Times New Roman"/>
          <w:sz w:val="20"/>
          <w:szCs w:val="20"/>
        </w:rPr>
        <w:t>“İtiraz üzerine verilen kararlar kesindir.”</w:t>
      </w:r>
      <w:r w:rsidRPr="005917E7">
        <w:rPr>
          <w:rFonts w:ascii="Times New Roman" w:hAnsi="Times New Roman" w:cs="Times New Roman"/>
          <w:sz w:val="20"/>
          <w:szCs w:val="20"/>
        </w:rPr>
        <w:t xml:space="preserve"> biçimindeki beşinci cümlesinin, Anayasa’nın 2</w:t>
      </w:r>
      <w:proofErr w:type="gramStart"/>
      <w:r w:rsidRPr="005917E7">
        <w:rPr>
          <w:rFonts w:ascii="Times New Roman" w:hAnsi="Times New Roman" w:cs="Times New Roman"/>
          <w:sz w:val="20"/>
          <w:szCs w:val="20"/>
        </w:rPr>
        <w:t>.,</w:t>
      </w:r>
      <w:proofErr w:type="gramEnd"/>
      <w:r w:rsidRPr="005917E7">
        <w:rPr>
          <w:rFonts w:ascii="Times New Roman" w:hAnsi="Times New Roman" w:cs="Times New Roman"/>
          <w:sz w:val="20"/>
          <w:szCs w:val="20"/>
        </w:rPr>
        <w:t xml:space="preserve"> 36. ve  49. maddelerine aykırılığı ileri sürülerek iptaline karar verilmesi istemidir.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Gl"/>
          <w:rFonts w:ascii="Times New Roman" w:hAnsi="Times New Roman" w:cs="Times New Roman"/>
          <w:sz w:val="20"/>
          <w:szCs w:val="20"/>
        </w:rPr>
        <w:t>I- OLAY</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Çalışma ve Sosyal Güvenlik Bakanlığı müfettişleri tarafından yapılan inceleme sonucunda düzenlenen rapora karşı 4857 sayılı İş Kanunu’nun 3. maddesine dayanılarak yerel mahkemede açılan davanın kabulüne ilişkin kararın temyiz edilmesi üzerine itiraz konusu kuralın Anayasa’ya aykırı olduğu kanısına varan Yargıtay 22. Hukuk Dairesi, iptali için başvurmuştur.</w:t>
      </w:r>
    </w:p>
    <w:p w:rsidR="005917E7" w:rsidRPr="005917E7" w:rsidRDefault="005917E7" w:rsidP="005917E7">
      <w:pPr>
        <w:pStyle w:val="NormalWeb"/>
        <w:rPr>
          <w:sz w:val="20"/>
          <w:szCs w:val="20"/>
        </w:rPr>
      </w:pPr>
      <w:r w:rsidRPr="005917E7">
        <w:rPr>
          <w:rStyle w:val="Gl"/>
          <w:sz w:val="20"/>
          <w:szCs w:val="20"/>
        </w:rPr>
        <w:t>II- İTİRAZIN GEREKÇESİ</w:t>
      </w:r>
    </w:p>
    <w:p w:rsidR="005917E7" w:rsidRPr="005917E7" w:rsidRDefault="005917E7" w:rsidP="005917E7">
      <w:pPr>
        <w:pStyle w:val="NormalWeb"/>
        <w:rPr>
          <w:sz w:val="20"/>
          <w:szCs w:val="20"/>
        </w:rPr>
      </w:pPr>
      <w:r w:rsidRPr="005917E7">
        <w:rPr>
          <w:sz w:val="20"/>
          <w:szCs w:val="20"/>
        </w:rPr>
        <w:t>Başvuru kararının gerekçe bölümü şöyledir:</w:t>
      </w:r>
    </w:p>
    <w:p w:rsidR="005917E7" w:rsidRPr="005917E7" w:rsidRDefault="005917E7" w:rsidP="005917E7">
      <w:pPr>
        <w:pStyle w:val="NormalWeb"/>
        <w:rPr>
          <w:sz w:val="20"/>
          <w:szCs w:val="20"/>
        </w:rPr>
      </w:pPr>
      <w:r w:rsidRPr="005917E7">
        <w:rPr>
          <w:rStyle w:val="Vurgu"/>
          <w:sz w:val="20"/>
          <w:szCs w:val="20"/>
        </w:rPr>
        <w:t>“...</w:t>
      </w:r>
    </w:p>
    <w:p w:rsidR="005917E7" w:rsidRPr="005917E7" w:rsidRDefault="005917E7" w:rsidP="005917E7">
      <w:pPr>
        <w:pStyle w:val="NormalWeb"/>
        <w:rPr>
          <w:sz w:val="20"/>
          <w:szCs w:val="20"/>
        </w:rPr>
      </w:pPr>
      <w:r w:rsidRPr="005917E7">
        <w:rPr>
          <w:rStyle w:val="Vurgu"/>
          <w:sz w:val="20"/>
          <w:szCs w:val="20"/>
        </w:rPr>
        <w:t>1. GENEL OLARAK ASIL İŞVEREN-ALT İŞVEREN İLİŞKİSİ VE SINIRLANDIRILMASI</w:t>
      </w:r>
    </w:p>
    <w:p w:rsidR="005917E7" w:rsidRPr="005917E7" w:rsidRDefault="005917E7" w:rsidP="005917E7">
      <w:pPr>
        <w:jc w:val="both"/>
        <w:rPr>
          <w:rFonts w:ascii="Times New Roman" w:hAnsi="Times New Roman" w:cs="Times New Roman"/>
          <w:sz w:val="20"/>
          <w:szCs w:val="20"/>
        </w:rPr>
      </w:pPr>
      <w:r w:rsidRPr="005917E7">
        <w:rPr>
          <w:rStyle w:val="Vurgu"/>
          <w:rFonts w:ascii="Times New Roman" w:hAnsi="Times New Roman" w:cs="Times New Roman"/>
          <w:sz w:val="20"/>
          <w:szCs w:val="20"/>
        </w:rPr>
        <w:t>Çağımızda ekonomik ve teknolojik gelişmeler, küresel pazarın rekabet koşulları işletmeleri mal veya hizmet üretimlerini kendi işçileriyle değil, başka işverenlerin işçileri aracılığıyla gerçekleştirme yöntemlerini kullanmaya itmiştir. Alt işverene iş gördürme de bu yöntemlerden biridir. İşverenler yönünden bu tür yöntemlere başvurma “girişim özgürlüğü” kapsamında düşünülürse de, bu uygulama sonucunda alt işveren işçileri çoğunlukla sendikal örgütlenme ve toplu sözleşme düzeninin dışına itilmekte, daha ağır çalışma koşullarına tabi tutulmakta ve çok düşük ücret ve sosyal yardımlarla çalıştırılmaktadır. Böylece İş Hukuku kurallarının alt işveren işçileri açısından çok fazla bir anlam ve etkinliği söz konusu olamamaktadır. Doğuş sebebi işçiyi korumak olan İş Hukuku, sermaye karşısında emeğin ve örgütlenmenin etkisini zayıflatan bu uygulamanın sınırlandırılması ihtiyacını hissetmiştir.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 xml:space="preserve">4857 sayılı İş Kanunu’nun 2. maddesinin altıncı ve yedinci fıkralarında, işçi haklarını sınırlandıran ve kullanılamaz hale getiren </w:t>
      </w:r>
      <w:proofErr w:type="spellStart"/>
      <w:r w:rsidRPr="005917E7">
        <w:rPr>
          <w:rStyle w:val="Vurgu"/>
          <w:rFonts w:ascii="Times New Roman" w:hAnsi="Times New Roman" w:cs="Times New Roman"/>
          <w:sz w:val="20"/>
          <w:szCs w:val="20"/>
        </w:rPr>
        <w:t>kötüniyetli</w:t>
      </w:r>
      <w:proofErr w:type="spellEnd"/>
      <w:r w:rsidRPr="005917E7">
        <w:rPr>
          <w:rStyle w:val="Vurgu"/>
          <w:rFonts w:ascii="Times New Roman" w:hAnsi="Times New Roman" w:cs="Times New Roman"/>
          <w:sz w:val="20"/>
          <w:szCs w:val="20"/>
        </w:rPr>
        <w:t xml:space="preserve"> uygulamaları önlemek amacıyla asıl işveren-alt işveren ilişkisinin kurulma şartlarına, muvazaa ölçütlerine ve bunlara aykırılığın yaptırımına yer verilmiştir.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Style w:val="Vurgu"/>
          <w:rFonts w:ascii="Times New Roman" w:hAnsi="Times New Roman" w:cs="Times New Roman"/>
          <w:sz w:val="20"/>
          <w:szCs w:val="20"/>
        </w:rPr>
        <w:t>4857 sayılı İş Kanunu’nun 2. maddesinin altıncı fıkrasında asıl işveren-alt işveren ilişkisi; “bir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 olarak tanımlanmıştır.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lastRenderedPageBreak/>
        <w:t> </w:t>
      </w:r>
      <w:r w:rsidRPr="005917E7">
        <w:rPr>
          <w:rStyle w:val="Vurgu"/>
          <w:rFonts w:ascii="Times New Roman" w:hAnsi="Times New Roman" w:cs="Times New Roman"/>
          <w:sz w:val="20"/>
          <w:szCs w:val="20"/>
        </w:rPr>
        <w:t>Aynı maddenin yedinci fıkrasında “Asıl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 kuralına yer verilmiştir.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Style w:val="Vurgu"/>
          <w:rFonts w:ascii="Times New Roman" w:hAnsi="Times New Roman" w:cs="Times New Roman"/>
          <w:sz w:val="20"/>
          <w:szCs w:val="20"/>
        </w:rPr>
        <w:t xml:space="preserve">Asıl işveren-alt işveren ilişkisi konusunda Kanunda öngörülen yasal sınırlamalar; “asıl işverenin işçilerinin alt işveren tarafından işe alınarak çalıştırılmaya devam ettirilmesi suretiyle haklarının kısıtlanamayacağına”, “daha önce asıl işveren tarafından o iş yerinde çalıştırılan kimse ile alt işveren ilişkisi kurulamayacağına” ve “işletmenin ve işin gereği ile teknolojik nedenlerle uzmanlık gerektiren işler dışında asıl işin bölünerek alt işverenlere verilemeyeceğine” ilişkindir. </w:t>
      </w:r>
      <w:proofErr w:type="gramEnd"/>
      <w:r w:rsidRPr="005917E7">
        <w:rPr>
          <w:rStyle w:val="Vurgu"/>
          <w:rFonts w:ascii="Times New Roman" w:hAnsi="Times New Roman" w:cs="Times New Roman"/>
          <w:sz w:val="20"/>
          <w:szCs w:val="20"/>
        </w:rPr>
        <w:t xml:space="preserve">Buna göre asıl işveren-alt işveren ilişkisinin geçerliliği kanunda belirtilen unsurları taşımasına bağlıdır. Maddenin yedinci fıkrasında asıl işveren-alt işveren ilişkisine ilişkin örnekleme yoluyla muvazaa </w:t>
      </w:r>
      <w:proofErr w:type="gramStart"/>
      <w:r w:rsidRPr="005917E7">
        <w:rPr>
          <w:rStyle w:val="Vurgu"/>
          <w:rFonts w:ascii="Times New Roman" w:hAnsi="Times New Roman" w:cs="Times New Roman"/>
          <w:sz w:val="20"/>
          <w:szCs w:val="20"/>
        </w:rPr>
        <w:t>kriterlerine</w:t>
      </w:r>
      <w:proofErr w:type="gramEnd"/>
      <w:r w:rsidRPr="005917E7">
        <w:rPr>
          <w:rStyle w:val="Vurgu"/>
          <w:rFonts w:ascii="Times New Roman" w:hAnsi="Times New Roman" w:cs="Times New Roman"/>
          <w:sz w:val="20"/>
          <w:szCs w:val="20"/>
        </w:rPr>
        <w:t xml:space="preserve"> yer verilmiş ve ilişkinin muvazaaya dayanması halinde alt işveren işçisinin başlangıçtan itibaren asıl işverenin işçisi sayılarak işlem göreceği düzenlenmiştir.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4857 sayılı Kanun’un yukarıda belirtilen hükümleri ekonomik ve teknolojik gelişmelerin bir zorlaması olarak, işletmelere alt işverenlere iş gördürme imkânı tanırken, işçilerin korunması amacıyla önemli güvenceler ve sınırlamalar da içermekte, bu istihdam modelinin İş Hukukunda temel bir kural değil, bir istisna olarak değerlendirildiğini ortaya koymaktadır.</w:t>
      </w:r>
    </w:p>
    <w:p w:rsidR="005917E7" w:rsidRPr="005917E7" w:rsidRDefault="005917E7" w:rsidP="005917E7">
      <w:pPr>
        <w:pStyle w:val="NormalWeb"/>
        <w:rPr>
          <w:sz w:val="20"/>
          <w:szCs w:val="20"/>
        </w:rPr>
      </w:pPr>
      <w:r w:rsidRPr="005917E7">
        <w:rPr>
          <w:rStyle w:val="Vurgu"/>
          <w:sz w:val="20"/>
          <w:szCs w:val="20"/>
        </w:rPr>
        <w:t>...</w:t>
      </w:r>
    </w:p>
    <w:p w:rsidR="005917E7" w:rsidRPr="005917E7" w:rsidRDefault="005917E7" w:rsidP="005917E7">
      <w:pPr>
        <w:pStyle w:val="NormalWeb"/>
        <w:rPr>
          <w:sz w:val="20"/>
          <w:szCs w:val="20"/>
        </w:rPr>
      </w:pPr>
      <w:r w:rsidRPr="005917E7">
        <w:rPr>
          <w:rStyle w:val="Vurgu"/>
          <w:sz w:val="20"/>
          <w:szCs w:val="20"/>
        </w:rPr>
        <w:t>3. ANAYASAYA AYKIRILIK NEDENLERİ</w:t>
      </w:r>
    </w:p>
    <w:p w:rsidR="005917E7" w:rsidRPr="005917E7" w:rsidRDefault="005917E7" w:rsidP="005917E7">
      <w:pPr>
        <w:pStyle w:val="NormalWeb"/>
        <w:rPr>
          <w:sz w:val="20"/>
          <w:szCs w:val="20"/>
        </w:rPr>
      </w:pPr>
      <w:proofErr w:type="gramStart"/>
      <w:r w:rsidRPr="005917E7">
        <w:rPr>
          <w:rStyle w:val="Vurgu"/>
          <w:sz w:val="20"/>
          <w:szCs w:val="20"/>
        </w:rPr>
        <w:t>a</w:t>
      </w:r>
      <w:proofErr w:type="gramEnd"/>
      <w:r w:rsidRPr="005917E7">
        <w:rPr>
          <w:rStyle w:val="Vurgu"/>
          <w:sz w:val="20"/>
          <w:szCs w:val="20"/>
        </w:rPr>
        <w:t>. Sosyal Devlet İlkesi Yönünden</w:t>
      </w:r>
    </w:p>
    <w:p w:rsidR="005917E7" w:rsidRPr="005917E7" w:rsidRDefault="005917E7" w:rsidP="005917E7">
      <w:pPr>
        <w:pStyle w:val="NormalWeb"/>
        <w:rPr>
          <w:sz w:val="20"/>
          <w:szCs w:val="20"/>
        </w:rPr>
      </w:pPr>
      <w:r w:rsidRPr="005917E7">
        <w:rPr>
          <w:rStyle w:val="Vurgu"/>
          <w:sz w:val="20"/>
          <w:szCs w:val="20"/>
        </w:rPr>
        <w:t>Anayasa’nın 2. maddesinde Türkiye Cumhuriyetinin sosyal bir hukuk devleti olduğu belirtilmiştir.</w:t>
      </w:r>
    </w:p>
    <w:p w:rsidR="005917E7" w:rsidRPr="005917E7" w:rsidRDefault="005917E7" w:rsidP="005917E7">
      <w:pPr>
        <w:jc w:val="both"/>
        <w:rPr>
          <w:rFonts w:ascii="Times New Roman" w:hAnsi="Times New Roman" w:cs="Times New Roman"/>
          <w:sz w:val="20"/>
          <w:szCs w:val="20"/>
        </w:rPr>
      </w:pPr>
      <w:r w:rsidRPr="005917E7">
        <w:rPr>
          <w:rStyle w:val="Vurgu"/>
          <w:rFonts w:ascii="Times New Roman" w:hAnsi="Times New Roman" w:cs="Times New Roman"/>
          <w:sz w:val="20"/>
          <w:szCs w:val="20"/>
        </w:rPr>
        <w:t>Sosyal devlet, vatandaşların sosyal durumlarıyla, refahlarıyla ilgilenen, onlara asgari bir yaşam düzeyi sağlamayı ödev bilen, sosyal ve ekonomik hayata müdahale yoluyla, sınıf çatışmalarını yumuşatan ve milli bütünleşmeyi sağlamaya çalışan bir devlet anlayışıdır.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Sosyal devletin başta gelen amaçlarından birisi toplumdaki sosyal ve ekonomik dengesizlikleri azaltmaktır.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Anayasa Mahkemesinin 23.05.1972 tarih ve 2-28 sayılı kararında da belirtildiği üzere sosyal devlet, güçsüzleri güçlüler karşısında koruyarak gerçek eşitliği yani sosyal adaleti ve böylece sosyal dengeyi sağlamakla yükümlü devlettir.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4857 sayılı İş Kanunu’nun 2. maddesinin altıncı ve yedinci fıkralarına aykırı olarak kurulan veya muvazaaya dayalı asıl işveren-alt işveren ilişkileri işçiyi mağdur etmeye yöneliktir. İşveren karşısında ekonomik ve sosyal açıdan güçsüz durumdaki işçiyi mağdur etmeye yönelik kanuna aykırı veya muvazaalı işlemlere karşı hak arama yolunu kapatan 3. maddenin ikinci fıkrasında yer alan “İtiraz üzerine verilen kararlar kesindir” cümlesi Anayasa’nın 2. maddesinde belirtilen sosyal devlet ilkesine uygun düşmemektedir.</w:t>
      </w:r>
    </w:p>
    <w:p w:rsidR="005917E7" w:rsidRPr="005917E7" w:rsidRDefault="005917E7" w:rsidP="005917E7">
      <w:pPr>
        <w:pStyle w:val="NormalWeb"/>
        <w:rPr>
          <w:sz w:val="20"/>
          <w:szCs w:val="20"/>
        </w:rPr>
      </w:pPr>
      <w:proofErr w:type="gramStart"/>
      <w:r w:rsidRPr="005917E7">
        <w:rPr>
          <w:rStyle w:val="Vurgu"/>
          <w:sz w:val="20"/>
          <w:szCs w:val="20"/>
        </w:rPr>
        <w:t>b</w:t>
      </w:r>
      <w:proofErr w:type="gramEnd"/>
      <w:r w:rsidRPr="005917E7">
        <w:rPr>
          <w:rStyle w:val="Vurgu"/>
          <w:sz w:val="20"/>
          <w:szCs w:val="20"/>
        </w:rPr>
        <w:t>. Çalışma Hakkı Yönünden</w:t>
      </w:r>
    </w:p>
    <w:p w:rsidR="005917E7" w:rsidRPr="005917E7" w:rsidRDefault="005917E7" w:rsidP="005917E7">
      <w:pPr>
        <w:jc w:val="both"/>
        <w:rPr>
          <w:rFonts w:ascii="Times New Roman" w:hAnsi="Times New Roman" w:cs="Times New Roman"/>
          <w:sz w:val="20"/>
          <w:szCs w:val="20"/>
        </w:rPr>
      </w:pPr>
      <w:r w:rsidRPr="005917E7">
        <w:rPr>
          <w:rStyle w:val="Vurgu"/>
          <w:rFonts w:ascii="Times New Roman" w:hAnsi="Times New Roman" w:cs="Times New Roman"/>
          <w:sz w:val="20"/>
          <w:szCs w:val="20"/>
        </w:rPr>
        <w:t>Anayasanın 49. maddesinin birinci fıkrasında yer alan “çalışma, herkesin hakkı ve ödevidir” hükmü ile çalışma hakkı, Anayasa ile güvence altına alınmıştır.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 xml:space="preserve">Maddenin ikinci fıkrasında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hükmü ile devlete çalışma hakkının gerçekleştirilmesi </w:t>
      </w:r>
      <w:r w:rsidRPr="005917E7">
        <w:rPr>
          <w:rStyle w:val="Vurgu"/>
          <w:rFonts w:ascii="Times New Roman" w:hAnsi="Times New Roman" w:cs="Times New Roman"/>
          <w:sz w:val="20"/>
          <w:szCs w:val="20"/>
        </w:rPr>
        <w:lastRenderedPageBreak/>
        <w:t>sorumluluğu verilmiş bulunmaktadır. Buna göre devlet, çalışanları koruyacak, işsizliği önleyecek ve işçi-işveren ilişkilerinde çalışma barışını sağlayacak önlemleri alacaktır.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Anayasa’nın 48/2 hükmüne göre devlet, çalışanların hayat seviyesini yükseltmek ve çalışma hayatını geliştirmek üzere girişim özgürlüğünü özüne dokunmamak şartıyla eşitlik ilkesini de göz önünde tutarak sınırlandırabilecektir. Bu anlamda çalışma hakkı, çalışma ve sözleşme özgürlüğüne getirilecek kayıtlamaları da haklı kılarken aynı zamanda onları sınırlandırır.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Çalışma hakkı, iş bulma hakkını, yaşa, cinsiyete ve güce uymayan işlerde çalıştırılmama hakkını, işe almada ırk, renk, cinsiyet, inanç, siyasal düşünce ayrımcılığı yapılmama hakkını, istediği alan ve işte çalışma hakkını içerir. Bu hakların kullanılabilmesi devlete, istihdam olanaklarının yaratılması, eğitim hakkı, iş güvencesi ve koruyucu standartların sağlanması, çalışma yaşamında belirli bir gelir güvencesi sağlanması, işçi sağlığı ve güvenliğinin sağlanması, işçilerin örgütlenme hakkının sağlanması, işsizliğe ve işgücünün toplumsal risklere karşı korunmasını içeren uygun mevzuatın hazırlanması yükümlülüğünü vermektedir.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Çalışma hakkı olumlu edim gerektiren ve bu konuda daha çok devleti sorumluluk altına sokan bir hak niteliği taşıdığından, bu hakkı zayıflatan muvazaalı işveren uygulamalarına karşı kanun yollarını kapatan 4857 sayılı Kanun’un 3. maddesinin yukarıda belirtilen cümlesi Anayasa’nın 49. maddesine aykırı düşmektedir.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Öte yandan, mahkemenin verdiği (muvazaanın varlığı veya yokluğu hakkındaki) kesin hüküm, bu davanın tarafları olmayan kişiler yönünden kesin hüküm ve kesin delil oluşturmaz. Bu nedenle iş müfettişinin muvazaa tespitine karşı açılan itiraz davası sonucunda muvazaa bulunmadığına yönelik verilecek karar, işçinin, asıl işveren-alt işveren ilişkisinin kanuna aykırı veya muvazaaya dayalı olduğu iddiasıyla asıl işverene karşı işe iade veya alacak davası açmasına engel teşkil etmemektedir. Aynı şekilde sendikanın toplu iş sözleşmesi yapmak için açacağı yetki tespiti v.b. davalarda da kesin hüküm ve kesin delil oluşturmayacaktır. Ne var ki, itiraz davasında verilen hükmün, tarafları farklı diğer bir davada (kesin hüküm ve kesin delil değil), kuvvetli bir takdiri delil teşkil etmesi mümkündür. İşçinin tarafı olmadığı bir davada oluşan kuvvetli takdiri delilin aleyhine sonuç doğurması göz önünde bulundurulduğunda iş mahkemesince verilen kararın kesin olması anayasal güvenceye sahip çalışma hakkını zayıflatıcı ve hatta ortadan kaldırıcı niteliktedir.</w:t>
      </w:r>
    </w:p>
    <w:p w:rsidR="005917E7" w:rsidRPr="005917E7" w:rsidRDefault="005917E7" w:rsidP="005917E7">
      <w:pPr>
        <w:pStyle w:val="NormalWeb"/>
        <w:rPr>
          <w:sz w:val="20"/>
          <w:szCs w:val="20"/>
        </w:rPr>
      </w:pPr>
      <w:proofErr w:type="gramStart"/>
      <w:r w:rsidRPr="005917E7">
        <w:rPr>
          <w:rStyle w:val="Vurgu"/>
          <w:sz w:val="20"/>
          <w:szCs w:val="20"/>
        </w:rPr>
        <w:t>c</w:t>
      </w:r>
      <w:proofErr w:type="gramEnd"/>
      <w:r w:rsidRPr="005917E7">
        <w:rPr>
          <w:rStyle w:val="Vurgu"/>
          <w:sz w:val="20"/>
          <w:szCs w:val="20"/>
        </w:rPr>
        <w:t>. Hak Arama Özgürlüğü Yönünden</w:t>
      </w:r>
    </w:p>
    <w:p w:rsidR="005917E7" w:rsidRPr="005917E7" w:rsidRDefault="005917E7" w:rsidP="005917E7">
      <w:pPr>
        <w:jc w:val="both"/>
        <w:rPr>
          <w:rFonts w:ascii="Times New Roman" w:hAnsi="Times New Roman" w:cs="Times New Roman"/>
          <w:sz w:val="20"/>
          <w:szCs w:val="20"/>
        </w:rPr>
      </w:pPr>
      <w:r w:rsidRPr="005917E7">
        <w:rPr>
          <w:rStyle w:val="Vurgu"/>
          <w:rFonts w:ascii="Times New Roman" w:hAnsi="Times New Roman" w:cs="Times New Roman"/>
          <w:sz w:val="20"/>
          <w:szCs w:val="20"/>
        </w:rPr>
        <w:t>Anayasamızın 36. maddesinde hak arama özgürlüğü düzenlenmiştir. Buna göre “Herkes, meşru vasıta ve yollardan faydalanmak suretiyle yargı mercileri önünde davacı veya davalı olarak iddia ve savunma hakkına sahiptir. Hiç bir mahkeme, görev ve yetkisi içindeki davaya bakmaktan kaçamaz.”</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Anayasa’nın sözü edilen maddesi bireylerin sahip oldukları hak ve özgürlüklerin korunmasını sağlamaya yöneliktir. Bireyler anayasamızca kendilerine tanınan haklarını meşru yollardan arama hürriyetine sahiptir.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Hak ve özgürlüklerin güvenceye kavuşturulması, hak arama yollarının sayısının artırılması, ulaşılmasının kolaylaştırılması ve etkinleştirilmesi ile sağlanabilir.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Hak arama özgürlüğü ve hak arama yollarının yokluğu, diğer hak ve özgürlüklerin sadece teoride kalmasına neden olur. Bu yönüyle hak arama özgürlüğü koruyucudur. Koruyuculuk özelliği sayesinde hak arama hürriyeti tüm hakların yaşama geçirilmesini sağlar.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Yaşam hakkı, çalışma hakkı, seçme ve seçilme hakkı, çevre hakkı gibi haklar hak arama özgürlüğü ile doğrudan ilgilidir. Zira bu hakların birisi ihlal edilirse her halde hak arama özgürlüğü söz konusu olacaktır.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Style w:val="Vurgu"/>
          <w:rFonts w:ascii="Times New Roman" w:hAnsi="Times New Roman" w:cs="Times New Roman"/>
          <w:sz w:val="20"/>
          <w:szCs w:val="20"/>
        </w:rPr>
        <w:t xml:space="preserve">Yukarıda belirtildiği üzere 4857 sayılı İş Kanunu’nun 2. maddesinin 6 ve 7. maddesine aykırı olarak kurulan veya muvazaaya dayanan asıl işveren-alt işveren ilişkileri işçinin daha düşük ücret ve sosyal yardımlarla çalışmasına, iş güvencesinin zayıflamasına, daha ağır çalışma koşullarına tabi tutulmasına, sendikal örgütlenme ve toplu iş sözleşmesi düzeninin dışına itilmesine neden olmaktadır. </w:t>
      </w:r>
      <w:proofErr w:type="gramEnd"/>
      <w:r w:rsidRPr="005917E7">
        <w:rPr>
          <w:rStyle w:val="Vurgu"/>
          <w:rFonts w:ascii="Times New Roman" w:hAnsi="Times New Roman" w:cs="Times New Roman"/>
          <w:sz w:val="20"/>
          <w:szCs w:val="20"/>
        </w:rPr>
        <w:t xml:space="preserve">Muvazaanın tarafları “asıl işveren” ile “alt işveren”dir. 4857 sayılı İş Kanunu’nun 3. maddesi gereğince muvazaa tespit eden iş müfettişinin raporuna karşı iş mahkemesinde açılan itiraz davasında işçi yer almamaktadır. İşçinin taraf olarak yer almadığı ve delil sunma </w:t>
      </w:r>
      <w:r w:rsidRPr="005917E7">
        <w:rPr>
          <w:rStyle w:val="Vurgu"/>
          <w:rFonts w:ascii="Times New Roman" w:hAnsi="Times New Roman" w:cs="Times New Roman"/>
          <w:sz w:val="20"/>
          <w:szCs w:val="20"/>
        </w:rPr>
        <w:lastRenderedPageBreak/>
        <w:t>imkânından yoksun bulunduğu bir yargılama sonucunda muvazaa bulunmadığına yönelik mahkeme kararının kesin olduğunun kabulü, işverene kanuna aykırı uygulaması için adeta “ruhsat” anlamına gelecektir.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 xml:space="preserve">Davalarda asıl olan, ilk derece mahkemelerinin verdikleri kararlara karşı, menfaati olan tarafın kanun yoluna başvurmasıdır. Kanun yoluna başvurma, hak arama özgürlüğünün ayrılmaz bir parçasıdır. Kural bu olmakla birlikte, istisnaî bazı durumlarda ilk derece mahkemelerinin verdiği kararların kesin olduğu yolunda kanunlarda (örneğin HMK m.341/f.2) hüküm yer almaktadır. </w:t>
      </w:r>
      <w:proofErr w:type="gramStart"/>
      <w:r w:rsidRPr="005917E7">
        <w:rPr>
          <w:rStyle w:val="Vurgu"/>
          <w:rFonts w:ascii="Times New Roman" w:hAnsi="Times New Roman" w:cs="Times New Roman"/>
          <w:sz w:val="20"/>
          <w:szCs w:val="20"/>
        </w:rPr>
        <w:t>Kanun koyucunun İş Kanunun 3. maddesinin ikinci fıkrasının getirdiği itiraz davası bakımından da bu yönde yeni bir istisna kabul ettiği anlaşılmakta ise de, itiraz davasının konusu, niteliği itibariyle işçi - işveren ve hatta ülke ekonomisi bakımından çok önemli sonuçlar doğurmakta olduğundan, “istisna” olmaya müsait değildir (Bkz. Ejder YILMAZ, “Alt İşverenlik İlişkisinin Muvazaalı Olduğunu Tespit Eden İş Müfettişi Raporuna Karşı İtiraz Davası”, Çimento İşveren, Çimento Endüstrisi İşverenleri Sendikası Dergisi, Cilt 23, Sayı:1, Ocak 2009, s.20).</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İtiraz davasının üst mahkemeye gitmesine izin verilmemesi, ilk derece mahkemesinin yanlış karar vermesi halinde, Yargıtay’ın müdahalesini ve daha da önemlisi bu konuda ülke çapında hukuk birliğinin sağlanmasını güçleştirecektir. Bu nedenle, İş K. m.3,II/cümle 4’deki kanun yollarını kapatan söz konusu hükmün Anayasanın hak arama özgürlüğünü kısıtlar nitelikte ve Anayasaya aykırı olduğu düşünülmektedir.</w:t>
      </w:r>
    </w:p>
    <w:p w:rsidR="005917E7" w:rsidRPr="005917E7" w:rsidRDefault="005917E7" w:rsidP="005917E7">
      <w:pPr>
        <w:pStyle w:val="NormalWeb"/>
        <w:rPr>
          <w:sz w:val="20"/>
          <w:szCs w:val="20"/>
        </w:rPr>
      </w:pPr>
      <w:r w:rsidRPr="005917E7">
        <w:rPr>
          <w:rStyle w:val="Vurgu"/>
          <w:sz w:val="20"/>
          <w:szCs w:val="20"/>
        </w:rPr>
        <w:t>...”</w:t>
      </w:r>
    </w:p>
    <w:p w:rsidR="005917E7" w:rsidRPr="005917E7" w:rsidRDefault="005917E7" w:rsidP="005917E7">
      <w:pPr>
        <w:pStyle w:val="NormalWeb"/>
        <w:rPr>
          <w:sz w:val="20"/>
          <w:szCs w:val="20"/>
        </w:rPr>
      </w:pPr>
      <w:r w:rsidRPr="005917E7">
        <w:rPr>
          <w:rStyle w:val="Gl"/>
          <w:sz w:val="20"/>
          <w:szCs w:val="20"/>
        </w:rPr>
        <w:t>III- YASA METİNLERİ</w:t>
      </w:r>
    </w:p>
    <w:p w:rsidR="005917E7" w:rsidRPr="005917E7" w:rsidRDefault="005917E7" w:rsidP="005917E7">
      <w:pPr>
        <w:pStyle w:val="NormalWeb"/>
        <w:rPr>
          <w:sz w:val="20"/>
          <w:szCs w:val="20"/>
        </w:rPr>
      </w:pPr>
      <w:r w:rsidRPr="005917E7">
        <w:rPr>
          <w:rStyle w:val="Gl"/>
          <w:sz w:val="20"/>
          <w:szCs w:val="20"/>
        </w:rPr>
        <w:t>A- İtiraz Konusu Yasa Kuralı</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22.5.2003 günlü, 4857 sayılı İş Kanunu’nun 15.5.2008 günlü, 5763 sayılı Kanun’un 1. maddesiyle değiştirilen ve itiraz konusu kuralı da içeren 3. maddesi şöyledir: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Style w:val="Vurgu"/>
          <w:rFonts w:ascii="Times New Roman" w:hAnsi="Times New Roman" w:cs="Times New Roman"/>
          <w:sz w:val="20"/>
          <w:szCs w:val="20"/>
        </w:rPr>
        <w:t>“</w:t>
      </w:r>
      <w:r w:rsidRPr="005917E7">
        <w:rPr>
          <w:rStyle w:val="Gl"/>
          <w:rFonts w:ascii="Times New Roman" w:hAnsi="Times New Roman" w:cs="Times New Roman"/>
          <w:i/>
          <w:iCs/>
          <w:sz w:val="20"/>
          <w:szCs w:val="20"/>
        </w:rPr>
        <w:t>Madde 3-</w:t>
      </w:r>
      <w:r w:rsidRPr="005917E7">
        <w:rPr>
          <w:rStyle w:val="Vurgu"/>
          <w:rFonts w:ascii="Times New Roman" w:hAnsi="Times New Roman" w:cs="Times New Roman"/>
          <w:sz w:val="20"/>
          <w:szCs w:val="20"/>
        </w:rPr>
        <w:t xml:space="preserve"> Bu Kanunun kapsamına giren nitelikte bir işyerini kuran, her ne suretle olursa olsun devralan, çalışma konusunu kısmen veya tamamen değiştiren veya herhangi bir sebeple faaliyetine son veren ve işyerini kapatan işveren, işyerinin unvan ve adresini, çalıştırılan işçi sayısını, çalışma konusunu, işin başlama veya bitme gününü, kendi adını ve soyadını yahut unvanını, adresini, varsa işveren vekili veya vekillerinin adı, soyadı ve adreslerini bir ay içinde bölge müdürlüğüne bildirmek zorundadır.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 xml:space="preserve">Bu Kanunun 2 </w:t>
      </w:r>
      <w:proofErr w:type="spellStart"/>
      <w:r w:rsidRPr="005917E7">
        <w:rPr>
          <w:rStyle w:val="Vurgu"/>
          <w:rFonts w:ascii="Times New Roman" w:hAnsi="Times New Roman" w:cs="Times New Roman"/>
          <w:sz w:val="20"/>
          <w:szCs w:val="20"/>
        </w:rPr>
        <w:t>nci</w:t>
      </w:r>
      <w:proofErr w:type="spellEnd"/>
      <w:r w:rsidRPr="005917E7">
        <w:rPr>
          <w:rStyle w:val="Vurgu"/>
          <w:rFonts w:ascii="Times New Roman" w:hAnsi="Times New Roman" w:cs="Times New Roman"/>
          <w:sz w:val="20"/>
          <w:szCs w:val="20"/>
        </w:rPr>
        <w:t xml:space="preserve"> maddesinin altıncı fıkrasına göre iş alan alt işveren; kendi işyerinin tescili için asıl işverenden aldığı yazılı alt işverenlik sözleşmesi ve gerekli belgelerle birlikte, birinci fıkra hükmüne göre bildirim yapmakla yükümlüdür. Bölge müdürlüğünce tescili yapılan bu işyerine ait belgeler gerektiğinde iş müfettişlerince incelenir. İnceleme sonucunda muvazaalı işlemin tespiti halinde, bu tespite ilişkin gerekçeli müfettiş raporu işverenlere tebliğ edilir. Bu rapora karşı tebliğ tarihinden itibaren altı işgünü içinde işverenlerce yetkili iş mahkemesine itiraz edilebilir. </w:t>
      </w:r>
      <w:r w:rsidRPr="005917E7">
        <w:rPr>
          <w:rStyle w:val="Gl"/>
          <w:rFonts w:ascii="Times New Roman" w:hAnsi="Times New Roman" w:cs="Times New Roman"/>
          <w:i/>
          <w:iCs/>
          <w:sz w:val="20"/>
          <w:szCs w:val="20"/>
        </w:rPr>
        <w:t>İtiraz üzerine verilen kararlar kesindir.</w:t>
      </w:r>
      <w:r w:rsidRPr="005917E7">
        <w:rPr>
          <w:rStyle w:val="Vurgu"/>
          <w:rFonts w:ascii="Times New Roman" w:hAnsi="Times New Roman" w:cs="Times New Roman"/>
          <w:sz w:val="20"/>
          <w:szCs w:val="20"/>
        </w:rPr>
        <w:t xml:space="preserve"> Rapora altı iş günü içinde itiraz edilmemiş veya mahkeme muvazaalı işlemin tespitini onamış ise tescil işlemi iptal edilir ve alt işverenin işçileri başlangıçtan itibaren asıl işverenin işçileri sayılır.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r w:rsidRPr="005917E7">
        <w:rPr>
          <w:rStyle w:val="Vurgu"/>
          <w:rFonts w:ascii="Times New Roman" w:hAnsi="Times New Roman" w:cs="Times New Roman"/>
          <w:sz w:val="20"/>
          <w:szCs w:val="20"/>
        </w:rPr>
        <w:t>Ancak, şirketlerin tescil kayıtları ise ticaret sicili memurluklarının gönderdiği belgeler üzerinden yapılır ve bu belgeler ilgili ticaret sicili memurluğunca bir ay içinde Çalışma ve Sosyal Güvenlik Bakanlığı ilgili bölge müdürlüklerine gönderilir.</w:t>
      </w:r>
    </w:p>
    <w:p w:rsidR="005917E7" w:rsidRPr="005917E7" w:rsidRDefault="005917E7" w:rsidP="005917E7">
      <w:pPr>
        <w:pStyle w:val="NormalWeb"/>
        <w:rPr>
          <w:sz w:val="20"/>
          <w:szCs w:val="20"/>
        </w:rPr>
      </w:pPr>
      <w:r w:rsidRPr="005917E7">
        <w:rPr>
          <w:rStyle w:val="Vurgu"/>
          <w:sz w:val="20"/>
          <w:szCs w:val="20"/>
        </w:rPr>
        <w:t>Asıl işveren-alt işveren ilişkisinin kurulması, bildirimi ve işyerinin tescili ile yapılacak sözleşmede bulunması gerekli diğer hususlara ilişkin usul ve esaslar, Çalışma ve Sosyal Güvenlik Bakanlığı tarafından çıkarılacak yönetmelikle belirlenir.”</w:t>
      </w:r>
    </w:p>
    <w:p w:rsidR="005917E7" w:rsidRPr="005917E7" w:rsidRDefault="005917E7" w:rsidP="005917E7">
      <w:pPr>
        <w:pStyle w:val="NormalWeb"/>
        <w:rPr>
          <w:sz w:val="20"/>
          <w:szCs w:val="20"/>
        </w:rPr>
      </w:pPr>
      <w:r w:rsidRPr="005917E7">
        <w:rPr>
          <w:rStyle w:val="Gl"/>
          <w:sz w:val="20"/>
          <w:szCs w:val="20"/>
        </w:rPr>
        <w:t>B- İlgili Yasa Kuralı</w:t>
      </w:r>
    </w:p>
    <w:p w:rsidR="005917E7" w:rsidRPr="005917E7" w:rsidRDefault="005917E7" w:rsidP="005917E7">
      <w:pPr>
        <w:pStyle w:val="NormalWeb"/>
        <w:rPr>
          <w:sz w:val="20"/>
          <w:szCs w:val="20"/>
        </w:rPr>
      </w:pPr>
      <w:r w:rsidRPr="005917E7">
        <w:rPr>
          <w:sz w:val="20"/>
          <w:szCs w:val="20"/>
        </w:rPr>
        <w:t>4857 sayılı Kanun’un ilgili görülen 2. maddesinin altıncı fıkrası</w:t>
      </w:r>
      <w:r w:rsidRPr="005917E7">
        <w:rPr>
          <w:rStyle w:val="Vurgu"/>
          <w:sz w:val="20"/>
          <w:szCs w:val="20"/>
        </w:rPr>
        <w:t xml:space="preserve"> </w:t>
      </w:r>
      <w:r w:rsidRPr="005917E7">
        <w:rPr>
          <w:sz w:val="20"/>
          <w:szCs w:val="20"/>
        </w:rPr>
        <w:t>şöyledir:</w:t>
      </w:r>
    </w:p>
    <w:p w:rsidR="005917E7" w:rsidRPr="005917E7" w:rsidRDefault="005917E7" w:rsidP="005917E7">
      <w:pPr>
        <w:jc w:val="both"/>
        <w:rPr>
          <w:rFonts w:ascii="Times New Roman" w:hAnsi="Times New Roman" w:cs="Times New Roman"/>
          <w:sz w:val="20"/>
          <w:szCs w:val="20"/>
        </w:rPr>
      </w:pPr>
      <w:proofErr w:type="gramStart"/>
      <w:r w:rsidRPr="005917E7">
        <w:rPr>
          <w:rFonts w:ascii="Times New Roman" w:hAnsi="Times New Roman" w:cs="Times New Roman"/>
          <w:sz w:val="20"/>
          <w:szCs w:val="20"/>
        </w:rPr>
        <w:lastRenderedPageBreak/>
        <w:t>“</w:t>
      </w:r>
      <w:r w:rsidRPr="005917E7">
        <w:rPr>
          <w:rStyle w:val="Vurgu"/>
          <w:rFonts w:ascii="Times New Roman" w:hAnsi="Times New Roman" w:cs="Times New Roman"/>
          <w:sz w:val="20"/>
          <w:szCs w:val="20"/>
        </w:rPr>
        <w:t xml:space="preserve">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 </w:t>
      </w:r>
      <w:proofErr w:type="gramEnd"/>
      <w:r w:rsidRPr="005917E7">
        <w:rPr>
          <w:rStyle w:val="Vurgu"/>
          <w:rFonts w:ascii="Times New Roman" w:hAnsi="Times New Roman" w:cs="Times New Roman"/>
          <w:sz w:val="20"/>
          <w:szCs w:val="20"/>
        </w:rPr>
        <w:t>Bu ilişkide asıl işveren, alt işverenin işçilerine karşı o işyeri ile ilgili olarak bu Kanundan, iş sözleşmesinden veya alt işverenin taraf olduğu toplu iş sözleşmesinden doğan yükümlülüklerinden alt işveren ile birlikte sorumludur.”</w:t>
      </w:r>
    </w:p>
    <w:p w:rsidR="005917E7" w:rsidRPr="005917E7" w:rsidRDefault="005917E7" w:rsidP="005917E7">
      <w:pPr>
        <w:pStyle w:val="NormalWeb"/>
        <w:rPr>
          <w:sz w:val="20"/>
          <w:szCs w:val="20"/>
        </w:rPr>
      </w:pPr>
      <w:r w:rsidRPr="005917E7">
        <w:rPr>
          <w:rStyle w:val="Gl"/>
          <w:sz w:val="20"/>
          <w:szCs w:val="20"/>
        </w:rPr>
        <w:t>C- Dayanılan Anayasa Kuralları</w:t>
      </w:r>
    </w:p>
    <w:p w:rsidR="005917E7" w:rsidRPr="005917E7" w:rsidRDefault="005917E7" w:rsidP="005917E7">
      <w:pPr>
        <w:pStyle w:val="NormalWeb"/>
        <w:rPr>
          <w:sz w:val="20"/>
          <w:szCs w:val="20"/>
        </w:rPr>
      </w:pPr>
      <w:r w:rsidRPr="005917E7">
        <w:rPr>
          <w:sz w:val="20"/>
          <w:szCs w:val="20"/>
        </w:rPr>
        <w:t>Başvuru kararında, Anayasa’nın 2</w:t>
      </w:r>
      <w:proofErr w:type="gramStart"/>
      <w:r w:rsidRPr="005917E7">
        <w:rPr>
          <w:sz w:val="20"/>
          <w:szCs w:val="20"/>
        </w:rPr>
        <w:t>.,</w:t>
      </w:r>
      <w:proofErr w:type="gramEnd"/>
      <w:r w:rsidRPr="005917E7">
        <w:rPr>
          <w:sz w:val="20"/>
          <w:szCs w:val="20"/>
        </w:rPr>
        <w:t xml:space="preserve"> 36. ve 49. maddelerine dayanılmıştır.</w:t>
      </w:r>
    </w:p>
    <w:p w:rsidR="005917E7" w:rsidRPr="005917E7" w:rsidRDefault="005917E7" w:rsidP="005917E7">
      <w:pPr>
        <w:pStyle w:val="NormalWeb"/>
        <w:rPr>
          <w:sz w:val="20"/>
          <w:szCs w:val="20"/>
        </w:rPr>
      </w:pPr>
      <w:r w:rsidRPr="005917E7">
        <w:rPr>
          <w:rStyle w:val="Gl"/>
          <w:sz w:val="20"/>
          <w:szCs w:val="20"/>
        </w:rPr>
        <w:t>IV- İLK İNCELEME</w:t>
      </w:r>
    </w:p>
    <w:p w:rsidR="005917E7" w:rsidRPr="005917E7" w:rsidRDefault="005917E7" w:rsidP="005917E7">
      <w:pPr>
        <w:jc w:val="both"/>
        <w:rPr>
          <w:rFonts w:ascii="Times New Roman" w:hAnsi="Times New Roman" w:cs="Times New Roman"/>
          <w:sz w:val="20"/>
          <w:szCs w:val="20"/>
        </w:rPr>
      </w:pPr>
      <w:proofErr w:type="gramStart"/>
      <w:r w:rsidRPr="005917E7">
        <w:rPr>
          <w:rFonts w:ascii="Times New Roman" w:hAnsi="Times New Roman" w:cs="Times New Roman"/>
          <w:sz w:val="20"/>
          <w:szCs w:val="20"/>
        </w:rPr>
        <w:t xml:space="preserve">Anayasa Mahkemesi İçtüzüğü’nün 8. maddesi uyarınca Haşim KILIÇ, </w:t>
      </w:r>
      <w:proofErr w:type="spellStart"/>
      <w:r w:rsidRPr="005917E7">
        <w:rPr>
          <w:rFonts w:ascii="Times New Roman" w:hAnsi="Times New Roman" w:cs="Times New Roman"/>
          <w:sz w:val="20"/>
          <w:szCs w:val="20"/>
        </w:rPr>
        <w:t>Serruh</w:t>
      </w:r>
      <w:proofErr w:type="spellEnd"/>
      <w:r w:rsidRPr="005917E7">
        <w:rPr>
          <w:rFonts w:ascii="Times New Roman" w:hAnsi="Times New Roman" w:cs="Times New Roman"/>
          <w:sz w:val="20"/>
          <w:szCs w:val="20"/>
        </w:rPr>
        <w:t xml:space="preserve"> KALELİ, Alparslan ALTAN, Fulya KANTARCIOĞLU, Mehmet ERTEN, Serdar ÖZGÜLDÜR, Osman </w:t>
      </w:r>
      <w:proofErr w:type="spellStart"/>
      <w:r w:rsidRPr="005917E7">
        <w:rPr>
          <w:rFonts w:ascii="Times New Roman" w:hAnsi="Times New Roman" w:cs="Times New Roman"/>
          <w:sz w:val="20"/>
          <w:szCs w:val="20"/>
        </w:rPr>
        <w:t>Alifeyyaz</w:t>
      </w:r>
      <w:proofErr w:type="spellEnd"/>
      <w:r w:rsidRPr="005917E7">
        <w:rPr>
          <w:rFonts w:ascii="Times New Roman" w:hAnsi="Times New Roman" w:cs="Times New Roman"/>
          <w:sz w:val="20"/>
          <w:szCs w:val="20"/>
        </w:rPr>
        <w:t xml:space="preserve"> PAKSÜT, Zehra Ayla PERKTAŞ, Recep KÖMÜRCÜ, Burhan ÜSTÜN, Engin YILDIRIM, Nuri NECİPOĞLU, </w:t>
      </w:r>
      <w:proofErr w:type="spellStart"/>
      <w:r w:rsidRPr="005917E7">
        <w:rPr>
          <w:rFonts w:ascii="Times New Roman" w:hAnsi="Times New Roman" w:cs="Times New Roman"/>
          <w:sz w:val="20"/>
          <w:szCs w:val="20"/>
        </w:rPr>
        <w:t>Hicabi</w:t>
      </w:r>
      <w:proofErr w:type="spellEnd"/>
      <w:r w:rsidRPr="005917E7">
        <w:rPr>
          <w:rFonts w:ascii="Times New Roman" w:hAnsi="Times New Roman" w:cs="Times New Roman"/>
          <w:sz w:val="20"/>
          <w:szCs w:val="20"/>
        </w:rPr>
        <w:t xml:space="preserve"> DURSUN, Celal Mümtaz AKINCI, Erdal TERCAN, Muammer TOPAL ve Zühtü </w:t>
      </w:r>
      <w:proofErr w:type="spellStart"/>
      <w:r w:rsidRPr="005917E7">
        <w:rPr>
          <w:rFonts w:ascii="Times New Roman" w:hAnsi="Times New Roman" w:cs="Times New Roman"/>
          <w:sz w:val="20"/>
          <w:szCs w:val="20"/>
        </w:rPr>
        <w:t>ARSLAN’ın</w:t>
      </w:r>
      <w:proofErr w:type="spellEnd"/>
      <w:r w:rsidRPr="005917E7">
        <w:rPr>
          <w:rFonts w:ascii="Times New Roman" w:hAnsi="Times New Roman" w:cs="Times New Roman"/>
          <w:sz w:val="20"/>
          <w:szCs w:val="20"/>
        </w:rPr>
        <w:t xml:space="preserve"> katılımlarıyla 17.5.2012 gününde yapılan ilk inceleme toplantısında, dosyada eksiklik bulunmadığından işin esasının incelenmesine OYBİRLİĞİYLE karar verilmiştir.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V- ESASIN İNCELENMESİ</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Başvuru kararı ve ekleri, Raportör Hakan ATASOY tarafından hazırlanan işin esasına ilişkin rapor, itiraz konusu ve ilgili görülen yasa kuralları, dayanılan Anayasa kuralları ve bunların gerekçeleri ile diğer yasama belgeleri okunup incelendikten sonra gereği görüşülüp düşünüldü:</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Başvuru kararında, 4857 sayılı Kanun’un 2. maddesinin altıncı ve yedinci fıkralarına aykırı olarak kurulan veya muvazaaya dayalı asıl işveren alt işveren ilişkilerinin, işveren karşısında ekonomik ve sosyal açıdan güçsüz durumdaki işçiyi mağdur etmeye yönelik olduğu, çalışma hakkının olumlu edim gerektiren ve bu konuda daha çok çalışma hayatını geliştirmek için çalışanları ve işsizleri korumakla yükümlü olan devleti sorumluluk altına sokan bir hak niteliği taşıdığı, itiraz konusu kuralın kanuna aykırı veya muvazaalı işlemlere karşı hak arama yolunu kapatması nedeniyle kuralın, Anayasa’nın 2. maddesinde düzenlenen sosyal hukuk devletine, 49. maddesinde düzenlenen çalışma hakkına ve 36. maddesinde düzenlenen hak arama özgürlüğüne aykırı olduğu ileri sürülmüştür.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4857 sayılı Kanun’un itiraz konusu kuralın da yer aldığı 3. maddesinin ikinci fıkrasında, Kanun’un 2. maddesinin altıncı fıkrasına göre iş alan alt işverenin; kendi işyerinin tescili için asıl işverenden aldığı yazılı alt işverenlik sözleşmesi ve gerekli belgelerle birlikte, birinci fıkra hükmüne göre bildirim yapmakla yükümlü olduğu, bölge müdürlüğünce tescili yapılan bu işyerine ait belgelerin gerektiğinde iş müfettişlerince inceleneceği, inceleme sonucunda muvazaalı işlemin tespiti halinde, bu tespite ilişkin gerekçeli müfettiş raporunun işverenlere tebliğ edileceği, işverenlerin bu rapora karşı tebliğ tarihinden itibaren altı iş günü içinde yetkili iş mahkemesine itiraz edebilecekleri belirtilmiş, yapılan bu itiraz üzerine verilen kararların ise kesin olduğu hükme bağlanmıştır.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Anayasa’nın 2.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Hukuk devletinin niteliklerinden biri de “</w:t>
      </w:r>
      <w:r w:rsidRPr="005917E7">
        <w:rPr>
          <w:rStyle w:val="Vurgu"/>
          <w:rFonts w:ascii="Times New Roman" w:hAnsi="Times New Roman" w:cs="Times New Roman"/>
          <w:sz w:val="20"/>
          <w:szCs w:val="20"/>
        </w:rPr>
        <w:t xml:space="preserve">sosyal hukuk </w:t>
      </w:r>
      <w:proofErr w:type="spellStart"/>
      <w:r w:rsidRPr="005917E7">
        <w:rPr>
          <w:rStyle w:val="Vurgu"/>
          <w:rFonts w:ascii="Times New Roman" w:hAnsi="Times New Roman" w:cs="Times New Roman"/>
          <w:sz w:val="20"/>
          <w:szCs w:val="20"/>
        </w:rPr>
        <w:t>devleti”dir</w:t>
      </w:r>
      <w:proofErr w:type="spellEnd"/>
      <w:r w:rsidRPr="005917E7">
        <w:rPr>
          <w:rFonts w:ascii="Times New Roman" w:hAnsi="Times New Roman" w:cs="Times New Roman"/>
          <w:sz w:val="20"/>
          <w:szCs w:val="20"/>
        </w:rPr>
        <w:t xml:space="preserve">. Sosyal </w:t>
      </w:r>
      <w:bookmarkStart w:id="0" w:name="hit14"/>
      <w:bookmarkEnd w:id="0"/>
      <w:r w:rsidRPr="005917E7">
        <w:rPr>
          <w:rFonts w:ascii="Times New Roman" w:hAnsi="Times New Roman" w:cs="Times New Roman"/>
          <w:sz w:val="20"/>
          <w:szCs w:val="20"/>
        </w:rPr>
        <w:t xml:space="preserve">hukuk </w:t>
      </w:r>
      <w:bookmarkStart w:id="1" w:name="hit15"/>
      <w:bookmarkEnd w:id="1"/>
      <w:r w:rsidRPr="005917E7">
        <w:rPr>
          <w:rFonts w:ascii="Times New Roman" w:hAnsi="Times New Roman" w:cs="Times New Roman"/>
          <w:sz w:val="20"/>
          <w:szCs w:val="20"/>
        </w:rPr>
        <w:t xml:space="preserve">devleti, vatandaşlarına asgari bir yaşama düzeyi sağlamayı kendisine görev bilen ve bu yüzden devletin sosyal ve ekonomik yaşama aktif müdahalesini meşru ve gerekli gören bir anlayışı ifade eder. Vatandaşların sosyal durumlarıyla ilgilenen sosyal </w:t>
      </w:r>
      <w:r w:rsidRPr="005917E7">
        <w:rPr>
          <w:rFonts w:ascii="Times New Roman" w:hAnsi="Times New Roman" w:cs="Times New Roman"/>
          <w:sz w:val="20"/>
          <w:szCs w:val="20"/>
        </w:rPr>
        <w:lastRenderedPageBreak/>
        <w:t>hukuk devleti, “</w:t>
      </w:r>
      <w:r w:rsidRPr="005917E7">
        <w:rPr>
          <w:rStyle w:val="Vurgu"/>
          <w:rFonts w:ascii="Times New Roman" w:hAnsi="Times New Roman" w:cs="Times New Roman"/>
          <w:sz w:val="20"/>
          <w:szCs w:val="20"/>
        </w:rPr>
        <w:t xml:space="preserve">insan </w:t>
      </w:r>
      <w:proofErr w:type="spellStart"/>
      <w:r w:rsidRPr="005917E7">
        <w:rPr>
          <w:rStyle w:val="Vurgu"/>
          <w:rFonts w:ascii="Times New Roman" w:hAnsi="Times New Roman" w:cs="Times New Roman"/>
          <w:sz w:val="20"/>
          <w:szCs w:val="20"/>
        </w:rPr>
        <w:t>onuru”nun</w:t>
      </w:r>
      <w:proofErr w:type="spellEnd"/>
      <w:r w:rsidRPr="005917E7">
        <w:rPr>
          <w:rFonts w:ascii="Times New Roman" w:hAnsi="Times New Roman" w:cs="Times New Roman"/>
          <w:sz w:val="20"/>
          <w:szCs w:val="20"/>
        </w:rPr>
        <w:t xml:space="preserve"> korunmasını amaçlar ve bunun için sosyal adaleti sağlamaya çalışır. Sosyal hukuk devleti, kişi ve toplum yararı arasında denge kuran, toplumsal dayanışmayı üst düzeyde gerçekleştiren, güçsüzleri güçlüler karşısında koruyarak eşitliği, sosyal adaleti sağlayan ve toplumsal dengeleri gözeten devlettir.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Anayasa’nın hak arama hürriyetini düzenleyen 36. maddesinin birinci fıkrasında, “</w:t>
      </w:r>
      <w:r w:rsidRPr="005917E7">
        <w:rPr>
          <w:rStyle w:val="Vurgu"/>
          <w:rFonts w:ascii="Times New Roman" w:hAnsi="Times New Roman" w:cs="Times New Roman"/>
          <w:sz w:val="20"/>
          <w:szCs w:val="20"/>
        </w:rPr>
        <w:t>Herkes, meşru vasıta ve yollardan faydalanmak suretiyle yargı mercileri önünde davacı veya davalı olarak iddia ve savunma ile adil yargılanma hakkına sahiptir.</w:t>
      </w:r>
      <w:r w:rsidRPr="005917E7">
        <w:rPr>
          <w:rFonts w:ascii="Times New Roman" w:hAnsi="Times New Roman" w:cs="Times New Roman"/>
          <w:sz w:val="20"/>
          <w:szCs w:val="20"/>
        </w:rPr>
        <w:t>” denilerek yargı mercilerine davacı ve davalı olarak başvurabilme ve bunun doğal sonucu olarak da iddia, savunma ve adil yargılanma hakkı güvence altına alınmıştır.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xml:space="preserve"> Anayasa’nın tüm maddeleri aynı etki ve değerde olup, aralarında bir üstünlük sıralaması bulunmadığından, uygulamada bunlardan birine öncelik tanımak olanaklı değildir. Bu nedenle, kimi zaman zorunlu olarak birlikte uygulanan iki Anayasa kuralından biri, diğerinin sınırını oluşturabilmektedir. </w:t>
      </w:r>
      <w:proofErr w:type="gramStart"/>
      <w:r w:rsidRPr="005917E7">
        <w:rPr>
          <w:rFonts w:ascii="Times New Roman" w:hAnsi="Times New Roman" w:cs="Times New Roman"/>
          <w:sz w:val="20"/>
          <w:szCs w:val="20"/>
        </w:rPr>
        <w:t xml:space="preserve">Anayasa’nın 36. maddesinde düzenlenen hak arama hürriyeti için düzenlendiği maddede herhangi bir sınırlama nedeni öngörülmemiş ise de, davaların mümkün olan süratle sonuçlandırılmasını ifade eden Anayasa’nın 141. ve mahkemelerin kuruluşu, görev ve yetkileri, işleyişi ve yargılama usullerinin kanunla düzenleneceğini öngören Anayasa’nın 142. maddelerinin, hak arama hürriyetinin kapsamının belirlenmesinde gözetilmesi gerektiği açıktır. </w:t>
      </w:r>
      <w:proofErr w:type="gramEnd"/>
      <w:r w:rsidRPr="005917E7">
        <w:rPr>
          <w:rFonts w:ascii="Times New Roman" w:hAnsi="Times New Roman" w:cs="Times New Roman"/>
          <w:sz w:val="20"/>
          <w:szCs w:val="20"/>
        </w:rPr>
        <w:t>Buna göre, kanun koyucu, uyuşmazlıkların niteliklerini gözeterek, Anayasa’daki yargı ile ilgili temel ilkelere ve güvence kurallarına aykırı bulunmamak şartı ile yargı yerlerince verilecek kararlardan hangilerinin kesin olduğunu belirleyebilecektir.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xml:space="preserve"> Anayasa’nın 36. maddesinde düzenlenen adil yargılanma hakkı, her uyuşmazlığın zorunlu olarak iki ya da üç dereceli yargılamaya tabi olmasını gerektirmez. </w:t>
      </w:r>
      <w:proofErr w:type="gramStart"/>
      <w:r w:rsidRPr="005917E7">
        <w:rPr>
          <w:rFonts w:ascii="Times New Roman" w:hAnsi="Times New Roman" w:cs="Times New Roman"/>
          <w:sz w:val="20"/>
          <w:szCs w:val="20"/>
        </w:rPr>
        <w:t xml:space="preserve">Anayasa’da iki dereceli yargılamayı zorunlu tutan bir kural olmadığı gibi Avrupa İnsan Hakları Sözleşmesi’nin Türkiye’nin taraf olmadığı 7 Numaralı Protokolü’nün 2. maddesi ile Türkiye’nin taraf olduğu Uluslararası Medeni ve Siyasi Haklar Sözleşmesi’nin 14. maddesinin beşinci fıkrasında yalnızca ceza davaları açısından iki dereceli yargılama öngörülmüş, hukuk davaları açısından ise iki dereceli yargılama zorunluluğu getirilmemiştir. </w:t>
      </w:r>
      <w:proofErr w:type="gramEnd"/>
      <w:r w:rsidRPr="005917E7">
        <w:rPr>
          <w:rFonts w:ascii="Times New Roman" w:hAnsi="Times New Roman" w:cs="Times New Roman"/>
          <w:sz w:val="20"/>
          <w:szCs w:val="20"/>
        </w:rPr>
        <w:t>Bu nedenle bazı hukuk uyuşmazlıklarının usul ekonomisi vb. nedenlerle iki dereceli yargılamaya kapatılması yasama organının takdir yetkisi içinde olup hak arama hürriyetine aykırılık oluşturmaz.</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xml:space="preserve"> Asıl işveren-alt işveren ilişkisinin tanımı 4857 sayılı Kanun’un 2. maddesinin yedinci fıkrasında yapılmıştır. </w:t>
      </w:r>
      <w:proofErr w:type="gramStart"/>
      <w:r w:rsidRPr="005917E7">
        <w:rPr>
          <w:rFonts w:ascii="Times New Roman" w:hAnsi="Times New Roman" w:cs="Times New Roman"/>
          <w:sz w:val="20"/>
          <w:szCs w:val="20"/>
        </w:rPr>
        <w:t xml:space="preserve">Buna göre, </w:t>
      </w:r>
      <w:r w:rsidRPr="005917E7">
        <w:rPr>
          <w:rStyle w:val="Vurgu"/>
          <w:rFonts w:ascii="Times New Roman" w:hAnsi="Times New Roman" w:cs="Times New Roman"/>
          <w:sz w:val="20"/>
          <w:szCs w:val="20"/>
        </w:rPr>
        <w:t>“Bir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w:t>
      </w:r>
      <w:r w:rsidRPr="005917E7">
        <w:rPr>
          <w:rFonts w:ascii="Times New Roman" w:hAnsi="Times New Roman" w:cs="Times New Roman"/>
          <w:sz w:val="20"/>
          <w:szCs w:val="20"/>
        </w:rPr>
        <w:t xml:space="preserve"> </w:t>
      </w:r>
      <w:proofErr w:type="gramEnd"/>
      <w:r w:rsidRPr="005917E7">
        <w:rPr>
          <w:rFonts w:ascii="Times New Roman" w:hAnsi="Times New Roman" w:cs="Times New Roman"/>
          <w:sz w:val="20"/>
          <w:szCs w:val="20"/>
        </w:rPr>
        <w:t xml:space="preserve">İşyerinde alt işverene iş verilmesi, çalışma hayatının gereksinimlerinden kaynaklanan ve hukuki dayanakları bulunan bir ilişkidir. Bu ilişkide özellikle alt işveren işçilerinin bireysel ve kolektif haklarının korunması büyük önem taşımaktadır. Bu nedenle işçi-işveren ilişkilerini düzenleyen temel kanun niteliğindeki 4857 sayılı Kanun’da alt işveren işçilerinin çalıştırılmalarıyla ilgili ciddi önlemler getirilmiştir. Bu önlemlerden biri de asıl işveren-alt işveren ilişkisinin amacına aykırı olarak kullanılmasını hedefleyen muvazaanın önlenmesidir. 4857 sayılı Kanun’un 2. maddesinin sekizinci fıkrasında </w:t>
      </w:r>
      <w:r w:rsidRPr="005917E7">
        <w:rPr>
          <w:rStyle w:val="Vurgu"/>
          <w:rFonts w:ascii="Times New Roman" w:hAnsi="Times New Roman" w:cs="Times New Roman"/>
          <w:sz w:val="20"/>
          <w:szCs w:val="20"/>
        </w:rPr>
        <w:t>“Asıl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w:t>
      </w:r>
      <w:r w:rsidRPr="005917E7">
        <w:rPr>
          <w:rFonts w:ascii="Times New Roman" w:hAnsi="Times New Roman" w:cs="Times New Roman"/>
          <w:sz w:val="20"/>
          <w:szCs w:val="20"/>
        </w:rPr>
        <w:t xml:space="preserve"> denilerek,  asıl işveren-alt işveren ilişkisinin muvazaalı işleme dayanılarak kurulması yasaklanmıştır.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 xml:space="preserve">4857 sayılı Kanun’un 3. maddesinin ikinci fıkrası, sosyal hukuk devleti ilkesinin bir gereği olarak, asıl işveren-alt işveren ilişkisinin kötüye kullanılmasına fırsat yaratmamak, diğer bir ifadeyle, asıl işveren ile alt işverenin işçiler aleyhine muvazaalı işlem yapmalarına engel olmak ve muvazaalı işlem yapılmışsa, işçilerin bu işlemle yoksun bırakılan haklarını koruma altına almak amacıyla kabul edilmiştir. </w:t>
      </w:r>
      <w:proofErr w:type="gramEnd"/>
      <w:r w:rsidRPr="005917E7">
        <w:rPr>
          <w:rFonts w:ascii="Times New Roman" w:hAnsi="Times New Roman" w:cs="Times New Roman"/>
          <w:sz w:val="20"/>
          <w:szCs w:val="20"/>
        </w:rPr>
        <w:t xml:space="preserve">Bu kapsamda itiraz konusu kuralın da, bir yandan iş müfettişlerinin muvazaalı işlem tespit etmeleri üzerine düzenledikleri rapora karşı açılan itiraz davasının en kısa zamanda sonuçlandırılarak, uzayan yargılama nedeniyle işçilerin mağdur olmalarına engel olmak, diğer yandan da </w:t>
      </w:r>
      <w:proofErr w:type="spellStart"/>
      <w:r w:rsidRPr="005917E7">
        <w:rPr>
          <w:rFonts w:ascii="Times New Roman" w:hAnsi="Times New Roman" w:cs="Times New Roman"/>
          <w:sz w:val="20"/>
          <w:szCs w:val="20"/>
        </w:rPr>
        <w:t>Yargıtayın</w:t>
      </w:r>
      <w:proofErr w:type="spellEnd"/>
      <w:r w:rsidRPr="005917E7">
        <w:rPr>
          <w:rFonts w:ascii="Times New Roman" w:hAnsi="Times New Roman" w:cs="Times New Roman"/>
          <w:sz w:val="20"/>
          <w:szCs w:val="20"/>
        </w:rPr>
        <w:t xml:space="preserve"> iş yükünü azaltmak amacıyla kabul edildiği anlaşılmaktadır.</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lastRenderedPageBreak/>
        <w:t> </w:t>
      </w:r>
    </w:p>
    <w:p w:rsidR="005917E7" w:rsidRPr="005917E7" w:rsidRDefault="005917E7" w:rsidP="005917E7">
      <w:pPr>
        <w:jc w:val="both"/>
        <w:rPr>
          <w:rFonts w:ascii="Times New Roman" w:hAnsi="Times New Roman" w:cs="Times New Roman"/>
          <w:sz w:val="20"/>
          <w:szCs w:val="20"/>
        </w:rPr>
      </w:pPr>
      <w:proofErr w:type="gramStart"/>
      <w:r w:rsidRPr="005917E7">
        <w:rPr>
          <w:rFonts w:ascii="Times New Roman" w:hAnsi="Times New Roman" w:cs="Times New Roman"/>
          <w:sz w:val="20"/>
          <w:szCs w:val="20"/>
        </w:rPr>
        <w:t>Bu nedenle, iş mahkemesi kararlarına karşı açılan davaların hızlandırılarak, işçilerin haklarının korunması ve mahkemelerin iş yükünün azaltılmasına yönelik kamu yararı amacıyla, temyiz yoluna gidilmesini önleyen itiraz konusu kuralın adalet duygusunu rencide eden, hak arama hürriyetini ve çalışma hakkını aşırı derecede zorlaştıran ya da ortadan kaldıran, dolayısıyla hakkın özüne dokunan bir sınırlama olmadığı açıktır.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roofErr w:type="gramStart"/>
      <w:r w:rsidRPr="005917E7">
        <w:rPr>
          <w:rFonts w:ascii="Times New Roman" w:hAnsi="Times New Roman" w:cs="Times New Roman"/>
          <w:sz w:val="20"/>
          <w:szCs w:val="20"/>
        </w:rPr>
        <w:t>Öte yandan, başvuru kararında iş müfettişlerince yapılan inceleme sonucunda muvazaalı işlemi tespit eden rapora karşı iş mahkemesine açılan itiraz davasında, işçinin yer almadığı ve delil sunma olanağından yoksun bulunduğu, böyle bir yargılama sonucunda muvazaa bulunmadığına yönelik mahkeme kararının kesin olduğunun kabul edilmesinin işverene kanuna aykırı uygulama yapması için adeta ruhsat vermek anlamına geldiği ileri sürülmüş ise de 4857 sayılı Kanun’un itiraz konusu kuralı da içeren 3. maddesinin ikinci fıkrası, işçilerin lehine kabul edilmiş olup, haklarının ihlal edildiğini düşünen işçilerin muvazaanın tespiti ya da başkaca nedenlerle bağımsız olarak dava açmalarına ya da iş müfettişlerinin raporuna karşı işverenler tarafından açılan itiraz davasına müdahil olarak katılma talebinde bulunmalarına engel teşkil etmemektedir.</w:t>
      </w:r>
      <w:proofErr w:type="gramEnd"/>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Açıklanan nedenlerle, itiraz konusu kural Anayasa’nın 2. ve 36.  maddelerine aykırı değildir. İptal isteminin reddi gerekir.</w:t>
      </w:r>
    </w:p>
    <w:p w:rsidR="005917E7" w:rsidRPr="005917E7" w:rsidRDefault="005917E7" w:rsidP="005917E7">
      <w:pPr>
        <w:pStyle w:val="NormalWeb"/>
        <w:rPr>
          <w:sz w:val="20"/>
          <w:szCs w:val="20"/>
        </w:rPr>
      </w:pPr>
      <w:r w:rsidRPr="005917E7">
        <w:rPr>
          <w:sz w:val="20"/>
          <w:szCs w:val="20"/>
        </w:rPr>
        <w:t>Kuralın, Anayasa’nın 49. maddesiyle ilgisi görülmemiştir.</w:t>
      </w:r>
    </w:p>
    <w:p w:rsidR="005917E7" w:rsidRPr="005917E7" w:rsidRDefault="005917E7" w:rsidP="005917E7">
      <w:pPr>
        <w:pStyle w:val="NormalWeb"/>
        <w:rPr>
          <w:sz w:val="20"/>
          <w:szCs w:val="20"/>
        </w:rPr>
      </w:pPr>
      <w:r w:rsidRPr="005917E7">
        <w:rPr>
          <w:rStyle w:val="Gl"/>
          <w:sz w:val="20"/>
          <w:szCs w:val="20"/>
        </w:rPr>
        <w:t>VI- SONUÇ</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xml:space="preserve">22.5.2003 günlü, 4857 sayılı İş Kanunu’nun 3. maddesinin, 15.5.2008 günlü, 5763 sayılı Kanun’un 1. maddesiyle değiştirilen ikinci fıkrasının </w:t>
      </w:r>
      <w:r w:rsidRPr="005917E7">
        <w:rPr>
          <w:rStyle w:val="Vurgu"/>
          <w:rFonts w:ascii="Times New Roman" w:hAnsi="Times New Roman" w:cs="Times New Roman"/>
          <w:sz w:val="20"/>
          <w:szCs w:val="20"/>
        </w:rPr>
        <w:t xml:space="preserve">“İtiraz üzerine verilen kararlar kesindir.” </w:t>
      </w:r>
      <w:r w:rsidRPr="005917E7">
        <w:rPr>
          <w:rFonts w:ascii="Times New Roman" w:hAnsi="Times New Roman" w:cs="Times New Roman"/>
          <w:sz w:val="20"/>
          <w:szCs w:val="20"/>
        </w:rPr>
        <w:t>biçimindeki beşinci cümlesinin Anayasa’ya aykırı olmadığına ve itirazın REDDİNE, 18.10.2012 gününde OYBİRLİĞİYLE karar verildi. </w:t>
      </w:r>
    </w:p>
    <w:p w:rsidR="005917E7" w:rsidRPr="005917E7" w:rsidRDefault="005917E7" w:rsidP="005917E7">
      <w:pPr>
        <w:jc w:val="both"/>
        <w:rPr>
          <w:rFonts w:ascii="Times New Roman" w:hAnsi="Times New Roman" w:cs="Times New Roman"/>
          <w:sz w:val="20"/>
          <w:szCs w:val="20"/>
        </w:rPr>
      </w:pPr>
      <w:r w:rsidRPr="005917E7">
        <w:rPr>
          <w:rFonts w:ascii="Times New Roman" w:hAnsi="Times New Roman" w:cs="Times New Roman"/>
          <w:sz w:val="20"/>
          <w:szCs w:val="20"/>
        </w:rPr>
        <w:t> </w:t>
      </w:r>
    </w:p>
    <w:tbl>
      <w:tblPr>
        <w:tblW w:w="7095" w:type="dxa"/>
        <w:jc w:val="center"/>
        <w:tblCellSpacing w:w="0" w:type="dxa"/>
        <w:tblCellMar>
          <w:left w:w="0" w:type="dxa"/>
          <w:right w:w="0" w:type="dxa"/>
        </w:tblCellMar>
        <w:tblLook w:val="04A0"/>
      </w:tblPr>
      <w:tblGrid>
        <w:gridCol w:w="2415"/>
        <w:gridCol w:w="1980"/>
        <w:gridCol w:w="2700"/>
      </w:tblGrid>
      <w:tr w:rsidR="005917E7" w:rsidRPr="005917E7">
        <w:trPr>
          <w:tblCellSpacing w:w="0" w:type="dxa"/>
          <w:jc w:val="center"/>
        </w:trPr>
        <w:tc>
          <w:tcPr>
            <w:tcW w:w="2415" w:type="dxa"/>
            <w:hideMark/>
          </w:tcPr>
          <w:p w:rsidR="005917E7" w:rsidRPr="005917E7" w:rsidRDefault="005917E7">
            <w:pPr>
              <w:pStyle w:val="NormalWeb"/>
              <w:jc w:val="center"/>
              <w:rPr>
                <w:sz w:val="20"/>
                <w:szCs w:val="20"/>
              </w:rPr>
            </w:pPr>
            <w:r w:rsidRPr="005917E7">
              <w:rPr>
                <w:sz w:val="20"/>
                <w:szCs w:val="20"/>
              </w:rPr>
              <w:t>Başkan</w:t>
            </w:r>
          </w:p>
          <w:p w:rsidR="005917E7" w:rsidRPr="005917E7" w:rsidRDefault="005917E7">
            <w:pPr>
              <w:pStyle w:val="NormalWeb"/>
              <w:jc w:val="center"/>
              <w:rPr>
                <w:sz w:val="20"/>
                <w:szCs w:val="20"/>
              </w:rPr>
            </w:pPr>
            <w:r w:rsidRPr="005917E7">
              <w:rPr>
                <w:sz w:val="20"/>
                <w:szCs w:val="20"/>
              </w:rPr>
              <w:t>Haşim KILIÇ</w:t>
            </w:r>
          </w:p>
        </w:tc>
        <w:tc>
          <w:tcPr>
            <w:tcW w:w="1980" w:type="dxa"/>
            <w:hideMark/>
          </w:tcPr>
          <w:p w:rsidR="005917E7" w:rsidRPr="005917E7" w:rsidRDefault="005917E7">
            <w:pPr>
              <w:pStyle w:val="NormalWeb"/>
              <w:jc w:val="center"/>
              <w:rPr>
                <w:sz w:val="20"/>
                <w:szCs w:val="20"/>
              </w:rPr>
            </w:pPr>
            <w:r w:rsidRPr="005917E7">
              <w:rPr>
                <w:sz w:val="20"/>
                <w:szCs w:val="20"/>
              </w:rPr>
              <w:t>Başkanvekili</w:t>
            </w:r>
          </w:p>
          <w:p w:rsidR="005917E7" w:rsidRPr="005917E7" w:rsidRDefault="005917E7">
            <w:pPr>
              <w:pStyle w:val="NormalWeb"/>
              <w:jc w:val="center"/>
              <w:rPr>
                <w:sz w:val="20"/>
                <w:szCs w:val="20"/>
              </w:rPr>
            </w:pPr>
            <w:proofErr w:type="spellStart"/>
            <w:r w:rsidRPr="005917E7">
              <w:rPr>
                <w:sz w:val="20"/>
                <w:szCs w:val="20"/>
              </w:rPr>
              <w:t>Serruh</w:t>
            </w:r>
            <w:proofErr w:type="spellEnd"/>
            <w:r w:rsidRPr="005917E7">
              <w:rPr>
                <w:sz w:val="20"/>
                <w:szCs w:val="20"/>
              </w:rPr>
              <w:t xml:space="preserve"> KALELİ</w:t>
            </w:r>
          </w:p>
        </w:tc>
        <w:tc>
          <w:tcPr>
            <w:tcW w:w="2700" w:type="dxa"/>
            <w:hideMark/>
          </w:tcPr>
          <w:p w:rsidR="005917E7" w:rsidRPr="005917E7" w:rsidRDefault="005917E7">
            <w:pPr>
              <w:pStyle w:val="NormalWeb"/>
              <w:jc w:val="center"/>
              <w:rPr>
                <w:sz w:val="20"/>
                <w:szCs w:val="20"/>
              </w:rPr>
            </w:pPr>
            <w:r w:rsidRPr="005917E7">
              <w:rPr>
                <w:sz w:val="20"/>
                <w:szCs w:val="20"/>
              </w:rPr>
              <w:t>Başkanvekili</w:t>
            </w:r>
          </w:p>
          <w:p w:rsidR="005917E7" w:rsidRPr="005917E7" w:rsidRDefault="005917E7">
            <w:pPr>
              <w:pStyle w:val="NormalWeb"/>
              <w:jc w:val="center"/>
              <w:rPr>
                <w:sz w:val="20"/>
                <w:szCs w:val="20"/>
              </w:rPr>
            </w:pPr>
            <w:r w:rsidRPr="005917E7">
              <w:rPr>
                <w:sz w:val="20"/>
                <w:szCs w:val="20"/>
              </w:rPr>
              <w:t>Alparslan ALTAN</w:t>
            </w:r>
          </w:p>
        </w:tc>
      </w:tr>
    </w:tbl>
    <w:p w:rsidR="005917E7" w:rsidRPr="005917E7" w:rsidRDefault="005917E7" w:rsidP="005917E7">
      <w:pPr>
        <w:pStyle w:val="NormalWeb"/>
        <w:rPr>
          <w:sz w:val="20"/>
          <w:szCs w:val="20"/>
        </w:rPr>
      </w:pPr>
      <w:r w:rsidRPr="005917E7">
        <w:rPr>
          <w:sz w:val="20"/>
          <w:szCs w:val="20"/>
        </w:rPr>
        <w:t> </w:t>
      </w:r>
    </w:p>
    <w:tbl>
      <w:tblPr>
        <w:tblW w:w="7095" w:type="dxa"/>
        <w:jc w:val="center"/>
        <w:tblCellSpacing w:w="0" w:type="dxa"/>
        <w:tblCellMar>
          <w:left w:w="0" w:type="dxa"/>
          <w:right w:w="0" w:type="dxa"/>
        </w:tblCellMar>
        <w:tblLook w:val="04A0"/>
      </w:tblPr>
      <w:tblGrid>
        <w:gridCol w:w="2415"/>
        <w:gridCol w:w="1980"/>
        <w:gridCol w:w="2700"/>
      </w:tblGrid>
      <w:tr w:rsidR="005917E7" w:rsidRPr="005917E7">
        <w:trPr>
          <w:tblCellSpacing w:w="0" w:type="dxa"/>
          <w:jc w:val="center"/>
        </w:trPr>
        <w:tc>
          <w:tcPr>
            <w:tcW w:w="2415"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Fulya KANTARCIOĞLU</w:t>
            </w:r>
          </w:p>
        </w:tc>
        <w:tc>
          <w:tcPr>
            <w:tcW w:w="198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Mehmet ERTEN</w:t>
            </w:r>
          </w:p>
        </w:tc>
        <w:tc>
          <w:tcPr>
            <w:tcW w:w="270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Serdar ÖZGÜLDÜR</w:t>
            </w:r>
          </w:p>
        </w:tc>
      </w:tr>
    </w:tbl>
    <w:p w:rsidR="005917E7" w:rsidRPr="005917E7" w:rsidRDefault="005917E7" w:rsidP="005917E7">
      <w:pPr>
        <w:pStyle w:val="NormalWeb"/>
        <w:rPr>
          <w:sz w:val="20"/>
          <w:szCs w:val="20"/>
        </w:rPr>
      </w:pPr>
      <w:r w:rsidRPr="005917E7">
        <w:rPr>
          <w:sz w:val="20"/>
          <w:szCs w:val="20"/>
        </w:rPr>
        <w:t> </w:t>
      </w:r>
    </w:p>
    <w:tbl>
      <w:tblPr>
        <w:tblW w:w="7095" w:type="dxa"/>
        <w:jc w:val="center"/>
        <w:tblCellSpacing w:w="0" w:type="dxa"/>
        <w:tblCellMar>
          <w:left w:w="0" w:type="dxa"/>
          <w:right w:w="0" w:type="dxa"/>
        </w:tblCellMar>
        <w:tblLook w:val="04A0"/>
      </w:tblPr>
      <w:tblGrid>
        <w:gridCol w:w="2415"/>
        <w:gridCol w:w="1980"/>
        <w:gridCol w:w="2700"/>
      </w:tblGrid>
      <w:tr w:rsidR="005917E7" w:rsidRPr="005917E7">
        <w:trPr>
          <w:tblCellSpacing w:w="0" w:type="dxa"/>
          <w:jc w:val="center"/>
        </w:trPr>
        <w:tc>
          <w:tcPr>
            <w:tcW w:w="2415"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 xml:space="preserve">Osman </w:t>
            </w:r>
            <w:proofErr w:type="spellStart"/>
            <w:r w:rsidRPr="005917E7">
              <w:rPr>
                <w:sz w:val="20"/>
                <w:szCs w:val="20"/>
              </w:rPr>
              <w:t>Alifeyyaz</w:t>
            </w:r>
            <w:proofErr w:type="spellEnd"/>
            <w:r w:rsidRPr="005917E7">
              <w:rPr>
                <w:sz w:val="20"/>
                <w:szCs w:val="20"/>
              </w:rPr>
              <w:t xml:space="preserve"> PAKSÜT</w:t>
            </w:r>
          </w:p>
        </w:tc>
        <w:tc>
          <w:tcPr>
            <w:tcW w:w="198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Zehra Ayla PERKTAŞ</w:t>
            </w:r>
          </w:p>
        </w:tc>
        <w:tc>
          <w:tcPr>
            <w:tcW w:w="270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Recep KÖMÜRCÜ</w:t>
            </w:r>
          </w:p>
        </w:tc>
      </w:tr>
    </w:tbl>
    <w:p w:rsidR="005917E7" w:rsidRPr="005917E7" w:rsidRDefault="005917E7" w:rsidP="005917E7">
      <w:pPr>
        <w:pStyle w:val="NormalWeb"/>
        <w:jc w:val="center"/>
        <w:rPr>
          <w:sz w:val="20"/>
          <w:szCs w:val="20"/>
        </w:rPr>
      </w:pPr>
      <w:r w:rsidRPr="005917E7">
        <w:rPr>
          <w:sz w:val="20"/>
          <w:szCs w:val="20"/>
        </w:rPr>
        <w:t> </w:t>
      </w:r>
    </w:p>
    <w:tbl>
      <w:tblPr>
        <w:tblW w:w="7095" w:type="dxa"/>
        <w:jc w:val="center"/>
        <w:tblCellSpacing w:w="0" w:type="dxa"/>
        <w:tblCellMar>
          <w:left w:w="0" w:type="dxa"/>
          <w:right w:w="0" w:type="dxa"/>
        </w:tblCellMar>
        <w:tblLook w:val="04A0"/>
      </w:tblPr>
      <w:tblGrid>
        <w:gridCol w:w="2415"/>
        <w:gridCol w:w="1980"/>
        <w:gridCol w:w="2700"/>
      </w:tblGrid>
      <w:tr w:rsidR="005917E7" w:rsidRPr="005917E7">
        <w:trPr>
          <w:tblCellSpacing w:w="0" w:type="dxa"/>
          <w:jc w:val="center"/>
        </w:trPr>
        <w:tc>
          <w:tcPr>
            <w:tcW w:w="2415"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Burhan ÜSTÜN</w:t>
            </w:r>
          </w:p>
        </w:tc>
        <w:tc>
          <w:tcPr>
            <w:tcW w:w="198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Engin YILDIRIM</w:t>
            </w:r>
          </w:p>
        </w:tc>
        <w:tc>
          <w:tcPr>
            <w:tcW w:w="270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Nuri NECİPOĞLU</w:t>
            </w:r>
          </w:p>
        </w:tc>
      </w:tr>
    </w:tbl>
    <w:p w:rsidR="005917E7" w:rsidRPr="005917E7" w:rsidRDefault="005917E7" w:rsidP="005917E7">
      <w:pPr>
        <w:pStyle w:val="NormalWeb"/>
        <w:jc w:val="center"/>
        <w:rPr>
          <w:sz w:val="20"/>
          <w:szCs w:val="20"/>
        </w:rPr>
      </w:pPr>
      <w:r w:rsidRPr="005917E7">
        <w:rPr>
          <w:sz w:val="20"/>
          <w:szCs w:val="20"/>
        </w:rPr>
        <w:t> </w:t>
      </w:r>
    </w:p>
    <w:tbl>
      <w:tblPr>
        <w:tblW w:w="7095" w:type="dxa"/>
        <w:jc w:val="center"/>
        <w:tblCellSpacing w:w="0" w:type="dxa"/>
        <w:tblCellMar>
          <w:left w:w="0" w:type="dxa"/>
          <w:right w:w="0" w:type="dxa"/>
        </w:tblCellMar>
        <w:tblLook w:val="04A0"/>
      </w:tblPr>
      <w:tblGrid>
        <w:gridCol w:w="2415"/>
        <w:gridCol w:w="1980"/>
        <w:gridCol w:w="2700"/>
      </w:tblGrid>
      <w:tr w:rsidR="005917E7" w:rsidRPr="005917E7">
        <w:trPr>
          <w:tblCellSpacing w:w="0" w:type="dxa"/>
          <w:jc w:val="center"/>
        </w:trPr>
        <w:tc>
          <w:tcPr>
            <w:tcW w:w="2415" w:type="dxa"/>
            <w:hideMark/>
          </w:tcPr>
          <w:p w:rsidR="005917E7" w:rsidRPr="005917E7" w:rsidRDefault="005917E7">
            <w:pPr>
              <w:pStyle w:val="NormalWeb"/>
              <w:jc w:val="center"/>
              <w:rPr>
                <w:sz w:val="20"/>
                <w:szCs w:val="20"/>
              </w:rPr>
            </w:pPr>
            <w:r w:rsidRPr="005917E7">
              <w:rPr>
                <w:sz w:val="20"/>
                <w:szCs w:val="20"/>
              </w:rPr>
              <w:lastRenderedPageBreak/>
              <w:t>Üye</w:t>
            </w:r>
          </w:p>
          <w:p w:rsidR="005917E7" w:rsidRPr="005917E7" w:rsidRDefault="005917E7">
            <w:pPr>
              <w:pStyle w:val="NormalWeb"/>
              <w:jc w:val="center"/>
              <w:rPr>
                <w:sz w:val="20"/>
                <w:szCs w:val="20"/>
              </w:rPr>
            </w:pPr>
            <w:proofErr w:type="spellStart"/>
            <w:r w:rsidRPr="005917E7">
              <w:rPr>
                <w:sz w:val="20"/>
                <w:szCs w:val="20"/>
              </w:rPr>
              <w:t>Hicabi</w:t>
            </w:r>
            <w:proofErr w:type="spellEnd"/>
            <w:r w:rsidRPr="005917E7">
              <w:rPr>
                <w:sz w:val="20"/>
                <w:szCs w:val="20"/>
              </w:rPr>
              <w:t xml:space="preserve"> DURSUN</w:t>
            </w:r>
          </w:p>
        </w:tc>
        <w:tc>
          <w:tcPr>
            <w:tcW w:w="198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Celal Mümtaz AKINCI</w:t>
            </w:r>
          </w:p>
        </w:tc>
        <w:tc>
          <w:tcPr>
            <w:tcW w:w="270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Erdal TERCAN</w:t>
            </w:r>
          </w:p>
        </w:tc>
      </w:tr>
    </w:tbl>
    <w:p w:rsidR="005917E7" w:rsidRPr="005917E7" w:rsidRDefault="005917E7" w:rsidP="005917E7">
      <w:pPr>
        <w:pStyle w:val="NormalWeb"/>
        <w:jc w:val="center"/>
        <w:rPr>
          <w:sz w:val="20"/>
          <w:szCs w:val="20"/>
        </w:rPr>
      </w:pPr>
      <w:r w:rsidRPr="005917E7">
        <w:rPr>
          <w:rStyle w:val="Gl"/>
          <w:sz w:val="20"/>
          <w:szCs w:val="20"/>
        </w:rPr>
        <w:t> </w:t>
      </w:r>
    </w:p>
    <w:tbl>
      <w:tblPr>
        <w:tblW w:w="5220" w:type="dxa"/>
        <w:jc w:val="center"/>
        <w:tblCellSpacing w:w="0" w:type="dxa"/>
        <w:tblCellMar>
          <w:left w:w="0" w:type="dxa"/>
          <w:right w:w="0" w:type="dxa"/>
        </w:tblCellMar>
        <w:tblLook w:val="04A0"/>
      </w:tblPr>
      <w:tblGrid>
        <w:gridCol w:w="2700"/>
        <w:gridCol w:w="2520"/>
      </w:tblGrid>
      <w:tr w:rsidR="005917E7" w:rsidRPr="005917E7">
        <w:trPr>
          <w:tblCellSpacing w:w="0" w:type="dxa"/>
          <w:jc w:val="center"/>
        </w:trPr>
        <w:tc>
          <w:tcPr>
            <w:tcW w:w="270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Muammer TOPAL</w:t>
            </w:r>
          </w:p>
        </w:tc>
        <w:tc>
          <w:tcPr>
            <w:tcW w:w="2520" w:type="dxa"/>
            <w:hideMark/>
          </w:tcPr>
          <w:p w:rsidR="005917E7" w:rsidRPr="005917E7" w:rsidRDefault="005917E7">
            <w:pPr>
              <w:pStyle w:val="NormalWeb"/>
              <w:jc w:val="center"/>
              <w:rPr>
                <w:sz w:val="20"/>
                <w:szCs w:val="20"/>
              </w:rPr>
            </w:pPr>
            <w:r w:rsidRPr="005917E7">
              <w:rPr>
                <w:sz w:val="20"/>
                <w:szCs w:val="20"/>
              </w:rPr>
              <w:t>Üye</w:t>
            </w:r>
          </w:p>
          <w:p w:rsidR="005917E7" w:rsidRPr="005917E7" w:rsidRDefault="005917E7">
            <w:pPr>
              <w:pStyle w:val="NormalWeb"/>
              <w:jc w:val="center"/>
              <w:rPr>
                <w:sz w:val="20"/>
                <w:szCs w:val="20"/>
              </w:rPr>
            </w:pPr>
            <w:r w:rsidRPr="005917E7">
              <w:rPr>
                <w:sz w:val="20"/>
                <w:szCs w:val="20"/>
              </w:rPr>
              <w:t>Zühtü ARSLAN</w:t>
            </w:r>
          </w:p>
        </w:tc>
      </w:tr>
    </w:tbl>
    <w:p w:rsidR="005917E7" w:rsidRPr="005917E7" w:rsidRDefault="005917E7" w:rsidP="00EB651E">
      <w:pPr>
        <w:spacing w:after="0" w:line="280" w:lineRule="atLeast"/>
        <w:rPr>
          <w:rFonts w:ascii="Times New Roman" w:hAnsi="Times New Roman" w:cs="Times New Roman"/>
          <w:b/>
          <w:sz w:val="20"/>
          <w:szCs w:val="20"/>
          <w:u w:val="single"/>
        </w:rPr>
      </w:pPr>
    </w:p>
    <w:sectPr w:rsidR="005917E7" w:rsidRPr="005917E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C8" w:rsidRDefault="00A373C8" w:rsidP="00405B55">
      <w:pPr>
        <w:spacing w:after="0" w:line="240" w:lineRule="auto"/>
      </w:pPr>
      <w:r>
        <w:separator/>
      </w:r>
    </w:p>
  </w:endnote>
  <w:endnote w:type="continuationSeparator" w:id="0">
    <w:p w:rsidR="00A373C8" w:rsidRDefault="00A373C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323372">
        <w:pPr>
          <w:pStyle w:val="Altbilgi"/>
          <w:jc w:val="center"/>
        </w:pPr>
        <w:fldSimple w:instr=" PAGE   \* MERGEFORMAT ">
          <w:r w:rsidR="005917E7">
            <w:rPr>
              <w:noProof/>
            </w:rPr>
            <w:t>8</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C8" w:rsidRDefault="00A373C8" w:rsidP="00405B55">
      <w:pPr>
        <w:spacing w:after="0" w:line="240" w:lineRule="auto"/>
      </w:pPr>
      <w:r>
        <w:separator/>
      </w:r>
    </w:p>
  </w:footnote>
  <w:footnote w:type="continuationSeparator" w:id="0">
    <w:p w:rsidR="00A373C8" w:rsidRDefault="00A373C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23372"/>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D61B9"/>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3786</Words>
  <Characters>21584</Characters>
  <Application>Microsoft Office Word</Application>
  <DocSecurity>0</DocSecurity>
  <Lines>179</Lines>
  <Paragraphs>50</Paragraphs>
  <ScaleCrop>false</ScaleCrop>
  <Company>TURMOB</Company>
  <LinksUpToDate>false</LinksUpToDate>
  <CharactersWithSpaces>25320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325</cp:revision>
  <cp:lastPrinted>2013-01-07T06:33:00Z</cp:lastPrinted>
  <dcterms:created xsi:type="dcterms:W3CDTF">2013-01-02T06:53:00Z</dcterms:created>
  <dcterms:modified xsi:type="dcterms:W3CDTF">2013-05-13T05:31:00Z</dcterms:modified>
</cp:coreProperties>
</file>