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917E7" w:rsidRDefault="00267DDF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D53EE2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28647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67DDF" w:rsidRDefault="00267DDF" w:rsidP="00267DDF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267DDF" w:rsidRDefault="00267DDF" w:rsidP="00267DDF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Çİ</w:t>
      </w:r>
      <w:r>
        <w:rPr>
          <w:sz w:val="18"/>
          <w:szCs w:val="18"/>
        </w:rPr>
        <w:t>FT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 xml:space="preserve"> KAYIT 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STEM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NE </w:t>
      </w:r>
      <w:proofErr w:type="gramStart"/>
      <w:r>
        <w:rPr>
          <w:sz w:val="18"/>
          <w:szCs w:val="18"/>
        </w:rPr>
        <w:t>DAH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proofErr w:type="gramEnd"/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>FT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>LERE MAZOT,</w:t>
      </w:r>
    </w:p>
    <w:p w:rsidR="00267DDF" w:rsidRDefault="00267DDF" w:rsidP="00267DD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</w:t>
      </w:r>
      <w:r>
        <w:rPr>
          <w:sz w:val="18"/>
          <w:szCs w:val="18"/>
        </w:rPr>
        <w:t>İ</w:t>
      </w:r>
    </w:p>
    <w:p w:rsidR="00267DDF" w:rsidRDefault="00267DDF" w:rsidP="00267DD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267DDF" w:rsidRDefault="00267DDF" w:rsidP="00267DDF">
      <w:pPr>
        <w:pStyle w:val="2-OrtaBaslk"/>
        <w:spacing w:after="283" w:line="240" w:lineRule="exact"/>
        <w:rPr>
          <w:sz w:val="18"/>
          <w:szCs w:val="18"/>
        </w:rPr>
      </w:pPr>
      <w:r>
        <w:rPr>
          <w:sz w:val="18"/>
          <w:szCs w:val="18"/>
        </w:rPr>
        <w:t>(TEBL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NO: 2013/14)</w:t>
      </w:r>
    </w:p>
    <w:p w:rsidR="00267DDF" w:rsidRDefault="00267DDF" w:rsidP="00267DD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267DDF" w:rsidRDefault="00267DDF" w:rsidP="00267DDF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analizinin birim alan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desteklenmesine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destekleme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alacak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faaliyette bulunan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demesi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18/4/2006</w:t>
      </w:r>
      <w:proofErr w:type="gramEnd"/>
      <w:r>
        <w:rPr>
          <w:sz w:val="18"/>
          <w:szCs w:val="18"/>
        </w:rPr>
        <w:t xml:space="preserve"> tarihli ve 5488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Kanununun 19 uncu maddesi ile 11/3/2013 tarihli ve 2013/4463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konulan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Desteklemelere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16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 ve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saltmalar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Banka: T.C. Ziraat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A.</w:t>
      </w:r>
      <w:r>
        <w:rPr>
          <w:sz w:val="18"/>
          <w:szCs w:val="18"/>
        </w:rPr>
        <w:t>Ş</w:t>
      </w:r>
      <w:r>
        <w:rPr>
          <w:sz w:val="18"/>
          <w:szCs w:val="18"/>
        </w:rPr>
        <w:t>.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yi</w:t>
      </w:r>
      <w:proofErr w:type="spellEnd"/>
      <w:r>
        <w:rPr>
          <w:sz w:val="18"/>
          <w:szCs w:val="18"/>
        </w:rPr>
        <w:t>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Bilgi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 Merkezi: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merkez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nyesindeki bilgi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birimini,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GEM: Bitkisel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i: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 (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KS): </w:t>
      </w:r>
      <w:proofErr w:type="gramStart"/>
      <w:r>
        <w:rPr>
          <w:sz w:val="18"/>
          <w:szCs w:val="18"/>
        </w:rPr>
        <w:t>16/4/2005</w:t>
      </w:r>
      <w:proofErr w:type="gramEnd"/>
      <w:r>
        <w:rPr>
          <w:sz w:val="18"/>
          <w:szCs w:val="18"/>
        </w:rPr>
        <w:t xml:space="preserve"> tarihli ve 25788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turulan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ilerin kimlik, arazi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bilgileri ile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desteklemelere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bilgilerin 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sistemlerini,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tahkim komisyonu: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komisyonunu,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tespit komisyonu: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tespit komisyonunu,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cmal 1: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bilgilere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her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y/mahalle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detay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ve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Ek 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belgeyi,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cmal 2: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bilgilere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her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y/mahalle detay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ve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Ek 4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belgeyi,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i)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cmal 3: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bilgilere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her il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detay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ve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Ek 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belgeyi,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arazisi: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arazileri,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arazisi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fiilen kullanarak bitkisel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retilmesi veya yeti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tirilmesini,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netmelik: </w:t>
      </w:r>
      <w:proofErr w:type="gramStart"/>
      <w:r>
        <w:rPr>
          <w:sz w:val="18"/>
          <w:szCs w:val="18"/>
        </w:rPr>
        <w:t>16/4/2005</w:t>
      </w:r>
      <w:proofErr w:type="gramEnd"/>
      <w:r>
        <w:rPr>
          <w:sz w:val="18"/>
          <w:szCs w:val="18"/>
        </w:rPr>
        <w:t xml:space="preserve"> tarihli ve 25788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267DDF" w:rsidRDefault="00267DDF" w:rsidP="00267DDF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267DDF" w:rsidRDefault="00267DDF" w:rsidP="00267DDF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deme Esaslar</w:t>
      </w:r>
      <w:r>
        <w:rPr>
          <w:sz w:val="18"/>
          <w:szCs w:val="18"/>
        </w:rPr>
        <w:t>ı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lacak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ift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iler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demeler,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ve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destekleme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belirtilen usul ve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faaliyette bulunan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demeye esas arazi b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kl</w:t>
      </w:r>
      <w:r>
        <w:rPr>
          <w:b/>
          <w:sz w:val="18"/>
          <w:szCs w:val="18"/>
        </w:rPr>
        <w:t>üğü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ledikleri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arazisi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ettikleri toplam arazi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1 dekar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olan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 miktar</w:t>
      </w:r>
      <w:r>
        <w:rPr>
          <w:b/>
          <w:sz w:val="18"/>
          <w:szCs w:val="18"/>
        </w:rPr>
        <w:t>ı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5 inci maddede belirtilen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 dekar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dekar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2,5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dir.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Mazot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demeleri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ana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grubunda alan </w:t>
      </w:r>
      <w:proofErr w:type="gramStart"/>
      <w:r>
        <w:rPr>
          <w:sz w:val="18"/>
          <w:szCs w:val="18"/>
        </w:rPr>
        <w:t>bazl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olarak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tabloda belirtildi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"/>
        <w:gridCol w:w="4073"/>
        <w:gridCol w:w="1948"/>
        <w:gridCol w:w="1948"/>
      </w:tblGrid>
      <w:tr w:rsidR="00267DDF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Sıra</w:t>
            </w:r>
          </w:p>
          <w:p w:rsidR="00267DDF" w:rsidRDefault="00267DDF">
            <w:pPr>
              <w:tabs>
                <w:tab w:val="left" w:pos="567"/>
              </w:tabs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both"/>
              <w:rPr>
                <w:sz w:val="18"/>
                <w:szCs w:val="18"/>
              </w:rPr>
            </w:pPr>
          </w:p>
          <w:p w:rsidR="00267DDF" w:rsidRDefault="00267DDF">
            <w:pPr>
              <w:tabs>
                <w:tab w:val="left" w:pos="567"/>
              </w:tabs>
              <w:spacing w:line="240" w:lineRule="exact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>
              <w:rPr>
                <w:b/>
                <w:sz w:val="18"/>
                <w:szCs w:val="18"/>
              </w:rPr>
              <w:t>Ürün Grupları</w:t>
            </w:r>
          </w:p>
          <w:p w:rsidR="00267DDF" w:rsidRDefault="00267DDF">
            <w:pPr>
              <w:tabs>
                <w:tab w:val="left" w:pos="567"/>
              </w:tabs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Mazot Destekleme</w:t>
            </w:r>
          </w:p>
          <w:p w:rsidR="00267DDF" w:rsidRDefault="00267DDF">
            <w:pPr>
              <w:tabs>
                <w:tab w:val="left" w:pos="567"/>
              </w:tabs>
              <w:spacing w:line="240" w:lineRule="exac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Tutarı</w:t>
            </w:r>
          </w:p>
          <w:p w:rsidR="00267DDF" w:rsidRDefault="00267DDF">
            <w:pPr>
              <w:tabs>
                <w:tab w:val="left" w:pos="567"/>
              </w:tabs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(TL/dekar)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Gübre Destekleme</w:t>
            </w:r>
          </w:p>
          <w:p w:rsidR="00267DDF" w:rsidRDefault="00267DDF">
            <w:pPr>
              <w:tabs>
                <w:tab w:val="left" w:pos="567"/>
              </w:tabs>
              <w:spacing w:line="240" w:lineRule="exac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Tutarı</w:t>
            </w:r>
          </w:p>
          <w:p w:rsidR="00267DDF" w:rsidRDefault="00267DDF">
            <w:pPr>
              <w:tabs>
                <w:tab w:val="left" w:pos="567"/>
              </w:tabs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(TL/dekar)</w:t>
            </w:r>
          </w:p>
        </w:tc>
      </w:tr>
      <w:tr w:rsidR="00267DDF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Peyzaj ve süs bitkileri, özel çayır, mera ve orman emvali alanları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267DDF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Hububat, yem bitkileri, baklagiller, yumru bitkiler, sebze ve meyve alanları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</w:tr>
      <w:tr w:rsidR="00267DDF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Yağlı tohumlu bitkiler ve endüstri bitkileri alanları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DDF" w:rsidRDefault="00267DDF">
            <w:pPr>
              <w:tabs>
                <w:tab w:val="left" w:pos="567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</w:tbl>
    <w:p w:rsidR="00267DDF" w:rsidRDefault="00267DDF" w:rsidP="00267DDF">
      <w:pPr>
        <w:pStyle w:val="3-NormalYaz"/>
        <w:spacing w:line="240" w:lineRule="exact"/>
        <w:jc w:val="center"/>
        <w:rPr>
          <w:sz w:val="18"/>
          <w:szCs w:val="18"/>
        </w:rPr>
      </w:pP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50 dekar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 her bir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arazisinin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demesinden yararlanabilmesi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her 50 dekarl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alan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bir analiz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laboratuvarlarda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 ile 31/12/2013 tarihi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toprak analizi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50 dekar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arazisi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 aranmaz.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demesinden faydalanmak isteyen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laboratuvarlarda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 ile 31/12/2013 tarihi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toprak analizi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Her toprak analizine en fazla 50 dekar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Her analiz en fazla 50 dekarl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bir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arazisini temsil eder.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demeler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in gerekli finansman ve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 plan</w:t>
      </w:r>
      <w:r>
        <w:rPr>
          <w:b/>
          <w:sz w:val="18"/>
          <w:szCs w:val="18"/>
        </w:rPr>
        <w:t>ı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finansman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enin ilgili kalemine tahsis edilen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deneklerden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Bankaya kaynak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teakip,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klerince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Banka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yla, ilgili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ubelerde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lan veya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olan hesaplara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desteklemesi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yapan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ilere ait bilgilerin,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il ve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teakiben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267DDF" w:rsidRDefault="00267DDF" w:rsidP="00267DDF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267DDF" w:rsidRDefault="00267DDF" w:rsidP="00267DDF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Uygulama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revli kurum ve kurulu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lar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GEM, tahkim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ve tespit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kabul</w:t>
      </w:r>
      <w:r>
        <w:rPr>
          <w:b/>
          <w:sz w:val="18"/>
          <w:szCs w:val="18"/>
        </w:rPr>
        <w:t>ü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inden faydalanmak isteyen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</w:t>
      </w:r>
      <w:proofErr w:type="gramStart"/>
      <w:r>
        <w:rPr>
          <w:sz w:val="18"/>
          <w:szCs w:val="18"/>
        </w:rPr>
        <w:t>31/12/2013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mesai saati bitimine kadar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klerine, merkez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ede ise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 Kadastro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tahkim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her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son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racaat tarihi, </w:t>
      </w:r>
      <w:proofErr w:type="gramStart"/>
      <w:r>
        <w:rPr>
          <w:sz w:val="18"/>
          <w:szCs w:val="18"/>
        </w:rPr>
        <w:t>31/12/2013</w:t>
      </w:r>
      <w:proofErr w:type="gramEnd"/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belirlenir ve bu tarih 11/2/1959 tarihli ve 7201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Tebligat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ilgili muhtara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edilir.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merkez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elerde,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klerinin yapmakla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 yapar.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kleri,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y/mahalle seviyesinde belli bir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iler,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merkezlerine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 ve teslim ettikleri belgelerdeki bilgilerin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sorumludurlar.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yapan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 bilgilerinde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</w:t>
      </w:r>
      <w:proofErr w:type="spellEnd"/>
      <w:r>
        <w:rPr>
          <w:sz w:val="18"/>
          <w:szCs w:val="18"/>
        </w:rPr>
        <w:t xml:space="preserve"> bilgilerini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ncellemesi gereklidir.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Mazot,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bre ve toprak analizi destekleme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demesi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vurular</w:t>
      </w:r>
      <w:r>
        <w:rPr>
          <w:b/>
          <w:sz w:val="18"/>
          <w:szCs w:val="18"/>
        </w:rPr>
        <w:t>ı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iler, Ek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ile yararlanmak istedikleri destekleri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aretleyerek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bulunurlar.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50 dekar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 her bir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arazisi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demesi ile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demesinden yararlanmak isteyen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laboratuvarca</w:t>
      </w:r>
      <w:proofErr w:type="spellEnd"/>
      <w:r>
        <w:rPr>
          <w:sz w:val="18"/>
          <w:szCs w:val="18"/>
        </w:rPr>
        <w:t xml:space="preserve">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Toprak Analizi Formu ile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racaatta bulunurlar.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demesi,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faaliyette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arazileri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dekar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stenecek bilgi ve belgeler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demesinden faydalanmak isteyen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KS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bilgi ve belgelerle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etmeleri gerekmektedir: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(Ek-1).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 bir 50 dekar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arazisinin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demesinden yararlanabilmesi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Toprak Analizi Formu (Ek-2) ve analiz raporu.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inden faydalanmak isteyen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 Toprak Analizi Formu (Ek-2) ve analiz raporu.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Ask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klerinin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icmalleri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turulur.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klerince her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merkezinin EK- 3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teki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merkezinde ve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n/mahallenin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kendi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nde/mahallesinde ilgili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veya muhtarl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marifetiyle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 tarihi ve saati ile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indirme tarihi ve saati tutana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Tutanak muhtar ve/veya aza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tarihle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herhangi bir itiraz olmaz ise icmallerdeki bilgiler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kabul edilir. Daha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itirazlar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 ve herhangi bir hak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urmaz.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ile ilgili arazi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eksik girilmesi durumunda,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 hatan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arazilerin eksik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lerinin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kalma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zarf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maddi hatalara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itirazlar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olup,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ve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bitiminden itibaren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ncelenen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itiraz edilmemesi ya da itirazlar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erlendirilerek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linde,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</w:t>
      </w:r>
      <w:proofErr w:type="spell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Ek 4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teki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zenlenip,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ve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onaylad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merkez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si ile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</w:t>
      </w:r>
      <w:proofErr w:type="spell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Ek 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teki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3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>n uyumu kontrol edilir.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tarihinden sonra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verilen itiraz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elerinde talep edilen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inin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ncellemeler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demesine esas olmaz.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 sonucunda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zeltilemez ya da bilgi ve belgelerle ilgili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ve/veya ihbar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turulamaz ise, durum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tahkim komisyonuna intikal ettirilir.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tahkim komisyonunca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mlenemeyen konular il tahkim komisyonuna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klerine intikal eden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ve/veya ihbar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klerince bu sorunlar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lmeye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 kavu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turulamayan konular, il tahkim komisyonuna bildirilir.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tahkim komisyonunda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mlenemeyen konular ise </w:t>
      </w:r>
      <w:proofErr w:type="spellStart"/>
      <w:r>
        <w:rPr>
          <w:sz w:val="18"/>
          <w:szCs w:val="18"/>
        </w:rPr>
        <w:t>B</w:t>
      </w:r>
      <w:r>
        <w:rPr>
          <w:sz w:val="18"/>
          <w:szCs w:val="18"/>
        </w:rPr>
        <w:t>Ü</w:t>
      </w:r>
      <w:r>
        <w:rPr>
          <w:sz w:val="18"/>
          <w:szCs w:val="18"/>
        </w:rPr>
        <w:t>GEM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klerine intikal eden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ve/veya ihbarlar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klerince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mlenmesi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linde,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demeye esas MGTAD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 3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ler </w:t>
      </w:r>
      <w:proofErr w:type="spellStart"/>
      <w:r>
        <w:rPr>
          <w:sz w:val="18"/>
          <w:szCs w:val="18"/>
        </w:rPr>
        <w:t>B</w:t>
      </w:r>
      <w:r>
        <w:rPr>
          <w:sz w:val="18"/>
          <w:szCs w:val="18"/>
        </w:rPr>
        <w:t>Ü</w:t>
      </w:r>
      <w:r>
        <w:rPr>
          <w:sz w:val="18"/>
          <w:szCs w:val="18"/>
        </w:rPr>
        <w:t>GEM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Tahkim komisyonlar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Tahkim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kabilecek ihtilafl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 xml:space="preserve">zmeye ve karar almaya yetkilidir.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tahkim komisyonu; merkez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ede,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komisyonunun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de yapar.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revlerine ilave olarak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yapar: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beyanda bulunanlar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hukuki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karar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ilgili mercilerce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imde bulunur.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beyanda bulunan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demelerinden faydaland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 ve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er,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beyanda bulunuldu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tespit eden merci ilgili Cumhuriyet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duyurusunda bulunur.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Sahtecilik ve/veya kamu kurumunu doland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gibi bir kast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fazla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demesinden yararlanan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ilerin, kendi 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fazla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iade etmeleri halinde,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demelerinden faydalanmalar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devam etmeleri ve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cezai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karar verir.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demesinden faydalanmak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vuruda bulunan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KS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girilmesini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tedbiri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Kadastro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rmeyen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son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tarihini ve tespit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takvimini belirler. Kadastro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rmeyen mahallerde tespit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lkiyetin tespitine esas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Tespit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edilmedi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engellendi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tespit komisyonu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ile belirlenen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ylerin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alabilir.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arazi tespitlerinin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kadastro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yerlerde, kadastro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da faydalan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Uygulamalar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denetimine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 ve yetkiler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denetimini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tedbirleri almaya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yetkilidir.</w:t>
      </w:r>
    </w:p>
    <w:p w:rsidR="00267DDF" w:rsidRDefault="00267DDF" w:rsidP="00267DDF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267DDF" w:rsidRDefault="00267DDF" w:rsidP="00267DDF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Uygulamadan Yararlanamayacaklar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Uygulama d</w:t>
      </w:r>
      <w:r>
        <w:rPr>
          <w:b/>
          <w:sz w:val="18"/>
          <w:szCs w:val="18"/>
        </w:rPr>
        <w:t>ışı</w:t>
      </w:r>
      <w:r>
        <w:rPr>
          <w:b/>
          <w:sz w:val="18"/>
          <w:szCs w:val="18"/>
        </w:rPr>
        <w:t xml:space="preserve">nda kalacak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ift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iler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destekleme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yararlanamaz: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KS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olmayanlar.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maddede istenen belgelerle birlikte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yapmayanlar.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listelerinde isminin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sonuna kadar hatal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yapmayanlar.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Desteklemeye tabi olmayacak araziler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araziler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destekleme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KS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araziler.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herhangi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retim ya 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gayesiyle toprak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araziler.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Kadastro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birimlerde, tapu sicil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klerinden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tapu zab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sahip olmayan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araziler.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listelerinde toplam arazi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sonuna kadar hatal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araziler.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Orman ve tesis kadastrosu tamamlanmam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ormanla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kili alanlarda, Orman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temsilcisinin de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tespit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raporlarda,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arazisi haline getirilmedi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tespit edilen araziler.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Tapuda tescili bulunmayan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lkiyeti ihtilafl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olup da,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taraflardan birisince itiraz konusu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araziler.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Tespit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edilmedi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engellendi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tespit komisyonu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ile belirlenen ve tahkim komisyonu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 ve toprak analizi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verilen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ylerdeki araziler.</w:t>
      </w:r>
    </w:p>
    <w:p w:rsidR="00267DDF" w:rsidRDefault="00267DDF" w:rsidP="00267DDF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267DDF" w:rsidRDefault="00267DDF" w:rsidP="00267DDF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Haks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z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demelerin geri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hak mahrumiyeti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belirlenen ilgili merciler, kendilerine ibraz edilen belgelerin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ve kendi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belgelerden sorumludurlar. Bu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yerine getirmeyerek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yere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demeye neden olanlar ile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yere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demelerden yararlanmak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sahte veya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belge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ve kullananlar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ilgili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yere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 tarihinden itibaren </w:t>
      </w:r>
      <w:proofErr w:type="gramStart"/>
      <w:r>
        <w:rPr>
          <w:sz w:val="18"/>
          <w:szCs w:val="18"/>
        </w:rPr>
        <w:t>21/7/1953</w:t>
      </w:r>
      <w:proofErr w:type="gramEnd"/>
      <w:r>
        <w:rPr>
          <w:sz w:val="18"/>
          <w:szCs w:val="18"/>
        </w:rPr>
        <w:t xml:space="preserve"> tarihli ve 6183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Amme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51 inci maddesinde belirtilen gecikme zamm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hesaplanan kanun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faizi ile birlikte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layan, belge veya belgeleri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tahsilinde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tereken sorumlu tutulurlar.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demelerinden, idar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hata sonucu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belgelerle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yere yararland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reticiler,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destekleme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lmazlar.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ler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gramStart"/>
      <w:r>
        <w:rPr>
          <w:sz w:val="18"/>
          <w:szCs w:val="18"/>
        </w:rPr>
        <w:t>29/5/2003</w:t>
      </w:r>
      <w:proofErr w:type="gramEnd"/>
      <w:r>
        <w:rPr>
          <w:sz w:val="18"/>
          <w:szCs w:val="18"/>
        </w:rPr>
        <w:t xml:space="preserve"> tarihli ve 25122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Faaliyette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Mazot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ilere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No: 2003/17).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 )</w:t>
      </w:r>
      <w:proofErr w:type="gramStart"/>
      <w:r>
        <w:rPr>
          <w:sz w:val="18"/>
          <w:szCs w:val="18"/>
        </w:rPr>
        <w:t>15/7/2005</w:t>
      </w:r>
      <w:proofErr w:type="gramEnd"/>
      <w:r>
        <w:rPr>
          <w:sz w:val="18"/>
          <w:szCs w:val="18"/>
        </w:rPr>
        <w:t xml:space="preserve"> tarihli ve 25876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Faaliyette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Mazot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ilere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No: 2005/38).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gramStart"/>
      <w:r>
        <w:rPr>
          <w:sz w:val="18"/>
          <w:szCs w:val="18"/>
        </w:rPr>
        <w:t>15/9/2005</w:t>
      </w:r>
      <w:proofErr w:type="gramEnd"/>
      <w:r>
        <w:rPr>
          <w:sz w:val="18"/>
          <w:szCs w:val="18"/>
        </w:rPr>
        <w:t xml:space="preserve"> tarihli ve 25937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 Kimyevi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No: 2005/42).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13/7/2008 tarihli ve 26935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Sistemine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 Mazot ve Kimyevi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No: 2008/37).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31/12/2008 tarihli ve 27097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Sistemine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ilere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No: 2008/70).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8/5/2009 tarihli ve 27222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Sistemine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 Mazot, Kimyevi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No: 2009/41).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18/3/2010 tarihli ve 27525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Sistemine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No: 2010/10).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15/3/2011 tarihli ve 27875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Sistemine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 Mazot,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bre ve Toprak Analizi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No: 2011/15).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267DDF" w:rsidRDefault="00267DDF" w:rsidP="00267D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267DDF" w:rsidRDefault="00267DDF" w:rsidP="00267DDF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267DDF" w:rsidRDefault="00267DDF" w:rsidP="00267DDF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  <w:u w:val="none"/>
          </w:rPr>
          <w:t>Tebli</w:t>
        </w:r>
        <w:r>
          <w:rPr>
            <w:rStyle w:val="Kpr"/>
            <w:b/>
            <w:bCs/>
            <w:sz w:val="18"/>
            <w:szCs w:val="18"/>
            <w:u w:val="none"/>
          </w:rPr>
          <w:t>ğ</w:t>
        </w:r>
        <w:r>
          <w:rPr>
            <w:rStyle w:val="Kpr"/>
            <w:b/>
            <w:bCs/>
            <w:sz w:val="18"/>
            <w:szCs w:val="18"/>
            <w:u w:val="none"/>
          </w:rPr>
          <w:t>in ekleri i</w:t>
        </w:r>
        <w:r>
          <w:rPr>
            <w:rStyle w:val="Kpr"/>
            <w:b/>
            <w:bCs/>
            <w:sz w:val="18"/>
            <w:szCs w:val="18"/>
            <w:u w:val="none"/>
          </w:rPr>
          <w:t>ç</w:t>
        </w:r>
        <w:r>
          <w:rPr>
            <w:rStyle w:val="Kpr"/>
            <w:b/>
            <w:bCs/>
            <w:sz w:val="18"/>
            <w:szCs w:val="18"/>
            <w:u w:val="none"/>
          </w:rPr>
          <w:t>in t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klay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n</w:t>
        </w:r>
        <w:r>
          <w:rPr>
            <w:rStyle w:val="Kpr"/>
            <w:b/>
            <w:bCs/>
            <w:sz w:val="18"/>
            <w:szCs w:val="18"/>
            <w:u w:val="none"/>
          </w:rPr>
          <w:t>ı</w:t>
        </w:r>
        <w:r>
          <w:rPr>
            <w:rStyle w:val="Kpr"/>
            <w:b/>
            <w:bCs/>
            <w:sz w:val="18"/>
            <w:szCs w:val="18"/>
            <w:u w:val="none"/>
          </w:rPr>
          <w:t>z</w:t>
        </w:r>
      </w:hyperlink>
    </w:p>
    <w:p w:rsidR="00267DDF" w:rsidRPr="005917E7" w:rsidRDefault="00267DDF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67DDF" w:rsidRPr="005917E7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568" w:rsidRDefault="00216568" w:rsidP="00405B55">
      <w:pPr>
        <w:spacing w:after="0" w:line="240" w:lineRule="auto"/>
      </w:pPr>
      <w:r>
        <w:separator/>
      </w:r>
    </w:p>
  </w:endnote>
  <w:endnote w:type="continuationSeparator" w:id="0">
    <w:p w:rsidR="00216568" w:rsidRDefault="00216568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CF72DA">
        <w:pPr>
          <w:pStyle w:val="Altbilgi"/>
          <w:jc w:val="center"/>
        </w:pPr>
        <w:fldSimple w:instr=" PAGE   \* MERGEFORMAT ">
          <w:r w:rsidR="00267DDF">
            <w:rPr>
              <w:noProof/>
            </w:rPr>
            <w:t>4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568" w:rsidRDefault="00216568" w:rsidP="00405B55">
      <w:pPr>
        <w:spacing w:after="0" w:line="240" w:lineRule="auto"/>
      </w:pPr>
      <w:r>
        <w:separator/>
      </w:r>
    </w:p>
  </w:footnote>
  <w:footnote w:type="continuationSeparator" w:id="0">
    <w:p w:rsidR="00216568" w:rsidRDefault="00216568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3B46"/>
    <w:rsid w:val="00047230"/>
    <w:rsid w:val="00052E9A"/>
    <w:rsid w:val="0005336C"/>
    <w:rsid w:val="00054B10"/>
    <w:rsid w:val="00057917"/>
    <w:rsid w:val="000679A9"/>
    <w:rsid w:val="00067DFB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6568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9139F"/>
    <w:rsid w:val="00293A69"/>
    <w:rsid w:val="002B18B5"/>
    <w:rsid w:val="002B4AF0"/>
    <w:rsid w:val="002D5E75"/>
    <w:rsid w:val="002E68E5"/>
    <w:rsid w:val="002F1327"/>
    <w:rsid w:val="00317A78"/>
    <w:rsid w:val="00323372"/>
    <w:rsid w:val="00337C5F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AF3"/>
    <w:rsid w:val="00430C5D"/>
    <w:rsid w:val="00432B0B"/>
    <w:rsid w:val="00436ABA"/>
    <w:rsid w:val="004455DE"/>
    <w:rsid w:val="00450F66"/>
    <w:rsid w:val="004516C8"/>
    <w:rsid w:val="00453B63"/>
    <w:rsid w:val="00454C3F"/>
    <w:rsid w:val="004606CD"/>
    <w:rsid w:val="00476187"/>
    <w:rsid w:val="004814E7"/>
    <w:rsid w:val="00481C05"/>
    <w:rsid w:val="0049683C"/>
    <w:rsid w:val="004A1424"/>
    <w:rsid w:val="004B52F5"/>
    <w:rsid w:val="004B60DF"/>
    <w:rsid w:val="004D6CD7"/>
    <w:rsid w:val="004E1C0B"/>
    <w:rsid w:val="004E2148"/>
    <w:rsid w:val="004E48A2"/>
    <w:rsid w:val="004F60B2"/>
    <w:rsid w:val="00510570"/>
    <w:rsid w:val="005110DE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B0681"/>
    <w:rsid w:val="006B2CEF"/>
    <w:rsid w:val="006E556D"/>
    <w:rsid w:val="006F0075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433E"/>
    <w:rsid w:val="007B6006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D61B9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D28"/>
    <w:rsid w:val="00B315A5"/>
    <w:rsid w:val="00B43221"/>
    <w:rsid w:val="00B50D3A"/>
    <w:rsid w:val="00B5143F"/>
    <w:rsid w:val="00B52F1E"/>
    <w:rsid w:val="00B644B3"/>
    <w:rsid w:val="00B73C0E"/>
    <w:rsid w:val="00B8184E"/>
    <w:rsid w:val="00B86757"/>
    <w:rsid w:val="00BB6F50"/>
    <w:rsid w:val="00BC163D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22D81"/>
    <w:rsid w:val="00C23B86"/>
    <w:rsid w:val="00C25A1D"/>
    <w:rsid w:val="00C305CC"/>
    <w:rsid w:val="00C32D12"/>
    <w:rsid w:val="00C32E46"/>
    <w:rsid w:val="00C35697"/>
    <w:rsid w:val="00C3688A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66126"/>
    <w:rsid w:val="00E712D9"/>
    <w:rsid w:val="00E818DC"/>
    <w:rsid w:val="00E9148A"/>
    <w:rsid w:val="00E97B80"/>
    <w:rsid w:val="00EA2F3D"/>
    <w:rsid w:val="00EA56F1"/>
    <w:rsid w:val="00EA6AC3"/>
    <w:rsid w:val="00EB1105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5/20130514-21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2681</Words>
  <Characters>15284</Characters>
  <Application>Microsoft Office Word</Application>
  <DocSecurity>0</DocSecurity>
  <Lines>127</Lines>
  <Paragraphs>35</Paragraphs>
  <ScaleCrop>false</ScaleCrop>
  <Company>TURMOB</Company>
  <LinksUpToDate>false</LinksUpToDate>
  <CharactersWithSpaces>17930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327</cp:revision>
  <cp:lastPrinted>2013-01-07T06:33:00Z</cp:lastPrinted>
  <dcterms:created xsi:type="dcterms:W3CDTF">2013-01-02T06:53:00Z</dcterms:created>
  <dcterms:modified xsi:type="dcterms:W3CDTF">2013-05-14T05:52:00Z</dcterms:modified>
</cp:coreProperties>
</file>