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917E7" w:rsidRDefault="00317D8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15</w:t>
      </w:r>
      <w:r w:rsidR="00D53EE2" w:rsidRPr="005917E7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</w:t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5917E7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28648</w:t>
      </w:r>
      <w:proofErr w:type="gramEnd"/>
    </w:p>
    <w:p w:rsidR="00513DFA" w:rsidRDefault="00513DF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17D8A" w:rsidRDefault="00317D8A" w:rsidP="00317D8A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317D8A" w:rsidRDefault="00317D8A" w:rsidP="00317D8A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>NDE 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317D8A" w:rsidRDefault="00317D8A" w:rsidP="00317D8A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b/>
          <w:bCs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7/10/2009</w:t>
      </w:r>
      <w:proofErr w:type="gramEnd"/>
      <w:r>
        <w:rPr>
          <w:sz w:val="18"/>
          <w:szCs w:val="18"/>
        </w:rPr>
        <w:t xml:space="preserve"> tarihli ve 27369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kerrer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30 uncu maddesine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(4)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ve/veya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politikalar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tirmeye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nelik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malarda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ksek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ve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olan kurumlar ve bunlara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larla bilimsel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rmalarda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 Bu kapsamda konu,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taraflar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gibi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yer alaca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bir protokol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veri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 Veri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istatistiksel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ntemlere uygun veri gizleme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derlenen ve saklanan bireysel verilerin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yol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acak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gizlendikten sonra kulland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mikro verilerde yeni gizleme teknikleri de uygulanabilir. Verilerin yetkisi olmayan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i, kurum veya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eline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taraflarca gerekli olan tedbirler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kapsamda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kontrol edilmeden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ilerle payla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izin verilmez.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Bu maddede belirtilen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uymayanlar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5237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Ceza Kanununun 239 ve 258 inci maddeleri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gerekli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72/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(c), (</w:t>
      </w:r>
      <w:r>
        <w:rPr>
          <w:sz w:val="18"/>
          <w:szCs w:val="18"/>
        </w:rPr>
        <w:t>ç</w:t>
      </w:r>
      <w:r>
        <w:rPr>
          <w:sz w:val="18"/>
          <w:szCs w:val="18"/>
        </w:rPr>
        <w:t>), (f) ve (</w:t>
      </w:r>
      <w:r>
        <w:rPr>
          <w:sz w:val="18"/>
          <w:szCs w:val="18"/>
        </w:rPr>
        <w:t>ğ</w:t>
      </w:r>
      <w:r>
        <w:rPr>
          <w:sz w:val="18"/>
          <w:szCs w:val="18"/>
        </w:rPr>
        <w:t>) bentleri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maddeye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(3) Muayene ve kontrol edilecek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azami bedellere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belirlenebilir.</w:t>
      </w:r>
      <w:r>
        <w:rPr>
          <w:sz w:val="18"/>
          <w:szCs w:val="18"/>
        </w:rPr>
        <w:t>”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77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(4)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lgesindeki bir yerden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bir yere transit rejimine tabi tutularak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nan serbest dola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mda olmayan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ya, var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getirildi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ve transit rejimi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sunuldu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unda Kanunun 41 ila 50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var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nma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belirlenecek olan Kanunun 46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maddesinde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reler,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sunuldu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tarihten itibaren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depolama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lemleri bilgisayar sistemindeki transit beyannamesi bilgileri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169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(g) bendi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g) Kanunun 167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olup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manifestosu ile getirilen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ya.</w:t>
      </w:r>
      <w:r>
        <w:rPr>
          <w:sz w:val="18"/>
          <w:szCs w:val="18"/>
        </w:rPr>
        <w:t>”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170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(g) bendi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g) Kanunun 167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olup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manifestosu ile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ya.</w:t>
      </w:r>
      <w:r>
        <w:rPr>
          <w:sz w:val="18"/>
          <w:szCs w:val="18"/>
        </w:rPr>
        <w:t>”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181 inci maddesinin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(d) bendi ile onuncu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kurumlarca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kontrol sonucunda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insan, hayvan, bitki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evre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tehlikeli ve zararl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tespiti halinde,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derhal yurtd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edilir.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bu nitelikteki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lgesinde imha edilemeyece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gibi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idarelerine de terk edilemez.</w:t>
      </w:r>
      <w:r>
        <w:rPr>
          <w:sz w:val="18"/>
          <w:szCs w:val="18"/>
        </w:rPr>
        <w:t>”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(10)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thalat ve ihracat kontrollerine konu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ile ilgili olarak;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thalat ve ihracat kontrollerine konu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denetim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steren ve 114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belirlenen belgelerin veya referans numaralar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beyannameye kaydedilmesi zorunludur.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Muayene veya kontrol sonucunun,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aksine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ilgili kurumun ithalat veya ihracat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gerekli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gerekli kontrollerin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teminen</w:t>
      </w:r>
      <w:proofErr w:type="spellEnd"/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ilgili kuruma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nlendirilir.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Denetime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belgenin veya referans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beyannamede yer almad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beyannamenin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veya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tesliminden sonra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kontroller neticesinde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ilgili kurum bilgilendirilir.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ç</w:t>
      </w:r>
      <w:r>
        <w:rPr>
          <w:sz w:val="18"/>
          <w:szCs w:val="18"/>
        </w:rPr>
        <w:t>)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nlendirme veya bilgilendirme neticesinde; ilgili kurumca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denetimin olumsuz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bildirilmesi veya ithali ve ihrac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lisansa,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arta, izne,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veya belli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uygunluk veya yeterlilik belgesine tabi olan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denetlendi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dair belge veya referans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halde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gibi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sterilmesi halinde Kanunun 235 inci maddesi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  <w:proofErr w:type="gramEnd"/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278 inci madde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7D8A" w:rsidRDefault="00317D8A" w:rsidP="00317D8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Belirgin bir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ekilde farkl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cinste 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ya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278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lgesine getirilerek transit rejimine konu edilen serbest dola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mda olmayan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neticesinde, beyan edilenden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tahlil, teknik inceleme ve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rmaya gerek olmaks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kolayca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labilen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vergileri ve/veya ticaret politikas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ya, belirgin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cinste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ya olarak kabul edilir. </w:t>
      </w:r>
      <w:proofErr w:type="gramEnd"/>
      <w:r>
        <w:rPr>
          <w:sz w:val="18"/>
          <w:szCs w:val="18"/>
        </w:rPr>
        <w:t>Kanunun 235 inci maddesinin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idari para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sevkine izin verilir.</w:t>
      </w:r>
      <w:r>
        <w:rPr>
          <w:sz w:val="18"/>
          <w:szCs w:val="18"/>
        </w:rPr>
        <w:t>”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328 inci maddesine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(2) Kanunun 236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maddesinin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antrepo rejimine tabi tutulan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neticesinde beyan edilenden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tahlil, teknik inceleme ve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rmaya gerek olmaks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lastRenderedPageBreak/>
        <w:t>kolayca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labilen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vergileri ve/veya ticaret politikas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ya, belirgin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cinste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olarak kabul edilir.</w:t>
      </w:r>
      <w:r>
        <w:rPr>
          <w:sz w:val="18"/>
          <w:szCs w:val="18"/>
        </w:rPr>
        <w:t>”</w:t>
      </w:r>
      <w:proofErr w:type="gramEnd"/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331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klerinin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333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birinci, ikinci ve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(1)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antrepolar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depolanan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suretiyle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 devredilebilir. Bunun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devreden ve devralan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ilgili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e, taraflar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devir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ve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yaya ait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vergileri ile para cezalar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devralan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dair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tnamenin verilmesi gerekir.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antrepolar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depolanan </w:t>
      </w:r>
      <w:proofErr w:type="spellStart"/>
      <w:r>
        <w:rPr>
          <w:sz w:val="18"/>
          <w:szCs w:val="18"/>
        </w:rPr>
        <w:t>solvent</w:t>
      </w:r>
      <w:proofErr w:type="spellEnd"/>
      <w:r>
        <w:rPr>
          <w:sz w:val="18"/>
          <w:szCs w:val="18"/>
        </w:rPr>
        <w:t xml:space="preserve"> ve </w:t>
      </w:r>
      <w:proofErr w:type="gramStart"/>
      <w:r>
        <w:rPr>
          <w:sz w:val="18"/>
          <w:szCs w:val="18"/>
        </w:rPr>
        <w:t>baz</w:t>
      </w:r>
      <w:proofErr w:type="gramEnd"/>
      <w:r>
        <w:rPr>
          <w:sz w:val="18"/>
          <w:szCs w:val="18"/>
        </w:rPr>
        <w:t xml:space="preserve"> 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suretiyle devrine, devralan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serbest dola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sokulacak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izin verilmez.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lkiyeti ile ilgili olarak devri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nleyici haciz ya da ihtiyati tedbir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hukuki bir engelin 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halinde bu durum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kavu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turulmadan taraflar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devir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Devralan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yeni bir antrepo beyannamesi verilerek ve antrepo stok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gerekli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devir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tamamlan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durumda,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ile ilgili hukuki sorumluluklar devralana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er.</w:t>
      </w:r>
      <w:r>
        <w:rPr>
          <w:sz w:val="18"/>
          <w:szCs w:val="18"/>
        </w:rPr>
        <w:t>”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335 inci maddesinin yedinci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ilk 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mlesinde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bunun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thalat Rejim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eki listelerdeki </w:t>
      </w:r>
      <w:r>
        <w:rPr>
          <w:sz w:val="18"/>
          <w:szCs w:val="18"/>
        </w:rPr>
        <w:t>‘</w:t>
      </w:r>
      <w:r>
        <w:rPr>
          <w:sz w:val="18"/>
          <w:szCs w:val="18"/>
        </w:rPr>
        <w:t>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tunundaki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vergisi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zerinden vergi </w:t>
      </w:r>
      <w:proofErr w:type="gramStart"/>
      <w:r>
        <w:rPr>
          <w:sz w:val="18"/>
          <w:szCs w:val="18"/>
        </w:rPr>
        <w:t>tahsilat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vergisi tahsilat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347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7D8A" w:rsidRDefault="00317D8A" w:rsidP="00317D8A">
      <w:pPr>
        <w:pStyle w:val="3-NormalYaz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zetimine engel olmamak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uluyla ve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cinsi 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bulundurularak,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beyanname muhteviyat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 arada istiflenmek suretiyle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idaresince izin verilebilir.</w:t>
      </w:r>
      <w:r>
        <w:rPr>
          <w:sz w:val="18"/>
          <w:szCs w:val="18"/>
        </w:rPr>
        <w:t>”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432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bendinin birinci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mlesinde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bunun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thalat Rejim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eki listelerdeki </w:t>
      </w:r>
      <w:r>
        <w:rPr>
          <w:sz w:val="18"/>
          <w:szCs w:val="18"/>
        </w:rPr>
        <w:t>‘</w:t>
      </w:r>
      <w:r>
        <w:rPr>
          <w:sz w:val="18"/>
          <w:szCs w:val="18"/>
        </w:rPr>
        <w:t>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tunundaki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vergisi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zerinden vergi </w:t>
      </w:r>
      <w:proofErr w:type="gramStart"/>
      <w:r>
        <w:rPr>
          <w:sz w:val="18"/>
          <w:szCs w:val="18"/>
        </w:rPr>
        <w:t>tahsilat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vergisi tahsilat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489 uncu maddesinin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maddeye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7D8A" w:rsidRDefault="00317D8A" w:rsidP="00317D8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 xml:space="preserve">k Vergileri Tahakkukunu 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zleme Defteri ve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 vergilerinin tebli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”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(2) Kanunun 197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vergileri tahakkukundan hemen sonra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ne sistem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zerinde, sistem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hallerde ise ilgili belge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edilir.</w:t>
      </w:r>
      <w:r>
        <w:rPr>
          <w:sz w:val="18"/>
          <w:szCs w:val="18"/>
        </w:rPr>
        <w:t>”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490 </w:t>
      </w:r>
      <w:proofErr w:type="spellStart"/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7D8A" w:rsidRDefault="00317D8A" w:rsidP="00317D8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 vergilerinin ek tahakkuku ile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 vergilerine ili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kin ceza kararlar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verilmesi, tebli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 ve kayda 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irilmesi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490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Beyannamede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gerektirir nitelikteki tespitler sistem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zekkere ile idare amirine sunulur.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 amirinin olurunu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yeni vergi tahakkuku ve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buna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cezalar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edilir.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Kanunun 197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istenen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vergileri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vergileri alaca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idari para cezalar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tek bir karar ile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edilir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anda ilgili programa kaydedilir.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Konusu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ile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idaresinin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maddi veya hukuki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yla; birden fazla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 veya beyannameye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vergileri ve para cezalar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tek tahakkuk ve ceza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zenlenebilir.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vergileri alaca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idari para cezalar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zamana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bu idari para cezalar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vergilerinin zamana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tabidir.</w:t>
      </w:r>
      <w:r>
        <w:rPr>
          <w:sz w:val="18"/>
          <w:szCs w:val="18"/>
        </w:rPr>
        <w:t>”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502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7D8A" w:rsidRDefault="00317D8A" w:rsidP="00317D8A">
      <w:pPr>
        <w:pStyle w:val="3-NormalYaz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vergilerinin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lar.</w:t>
      </w:r>
      <w:r>
        <w:rPr>
          <w:sz w:val="18"/>
          <w:szCs w:val="18"/>
        </w:rPr>
        <w:t>”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513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sekizinci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(8)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izinle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lacak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depolama yerlerinde,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depolama yeri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leticisinin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denetiminde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bulunan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depolama yerinin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ihtiyac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yedinci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yer alan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aranmaz.</w:t>
      </w:r>
      <w:r>
        <w:rPr>
          <w:sz w:val="18"/>
          <w:szCs w:val="18"/>
        </w:rPr>
        <w:t>”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514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Kanunun 235 ve 236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maddelerindeki cezalar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Kanunun 236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maddesindeki cezalar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529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ve (b) bentleri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a)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lanmadan veya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bitirilip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idaresinin izni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nmadan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antrepolar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idaresince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konulmas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izin verilen yerlerden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smen veya tamamen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buralardaki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tirilmesi nedeniyle Kanunun 236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antrepolar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antrepo beyannamesinde beyan edilenden belirgin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cinste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ya </w:t>
      </w:r>
      <w:r>
        <w:rPr>
          <w:sz w:val="18"/>
          <w:szCs w:val="18"/>
        </w:rPr>
        <w:lastRenderedPageBreak/>
        <w:t>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tespiti nedeniyle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Kanunun 236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maddesinin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toplamda bir defadan fazla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ceza uygulanmam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  <w:proofErr w:type="gramEnd"/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b)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antrepolar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idaresince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konulmas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izin verilen yerlerde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mlarda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noksan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nedeniyle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Kanunun 236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nca, her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ren antrepo beyannamesi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%1'ini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zamanda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ten fazla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ceza uygulanmam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  <w:r>
        <w:rPr>
          <w:sz w:val="18"/>
          <w:szCs w:val="18"/>
        </w:rPr>
        <w:t>”</w:t>
      </w:r>
      <w:proofErr w:type="gramEnd"/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538 inci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7D8A" w:rsidRDefault="00317D8A" w:rsidP="00317D8A">
      <w:pPr>
        <w:pStyle w:val="3-NormalYaz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ca, Kanunun 236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bu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erinin iki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idari para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541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sonuna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7D8A" w:rsidRDefault="00317D8A" w:rsidP="00317D8A">
      <w:pPr>
        <w:pStyle w:val="3-NormalYaz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v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petrol gazlar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(LPG) depoland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antrepolar,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antreposu olarak kabul edilir.</w:t>
      </w:r>
      <w:r>
        <w:rPr>
          <w:sz w:val="18"/>
          <w:szCs w:val="18"/>
        </w:rPr>
        <w:t>”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563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7D8A" w:rsidRDefault="00317D8A" w:rsidP="00317D8A">
      <w:pPr>
        <w:pStyle w:val="3-NormalYaz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Stajyerlik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bir ve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relerin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 tarihi ve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lan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579 uncu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(2) Soru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 veya kovu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 sonucunda Kanunda tayin edilen cezalardan daha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 bir para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karar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fiilin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ve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tan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karar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takdirde,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kesinle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ve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kmolunan paran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tahsili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Kanuna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ceza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para geri verilir.</w:t>
      </w:r>
      <w:r>
        <w:rPr>
          <w:sz w:val="18"/>
          <w:szCs w:val="18"/>
        </w:rPr>
        <w:t>”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580 inci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MADDE 580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Para cezalar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 amirleri veya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de belirtilmek suretiyle karar verilir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karar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edilir.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memurlarca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ceza teklifleri, idare amirlerince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takdirde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sterilmek suretiyle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karara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Kararlar tarih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numara verilerek elektronik ortamda kayda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Konusu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ile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idaresinin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maddi veya hukuki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yla; birden fazla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 veya beyannameye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para cezalar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tek ceza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zenlenebilir. Bu kararlarda,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veya beyanname tarih ve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cezan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nev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ve alacak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belirtilir.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Ceza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 olmayan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 halinde, pasaport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 plakas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firma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adresi gibi ceza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takibini kolayla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gerekli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bilgilere ceza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verilir.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lkiyetinin kamuya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irilmesine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kararlar,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 amirleri veya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belirtilmek suretiyle verilir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karar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edilir.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lkiyeti kamuya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irilen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cinsi,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olaya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kararda detayl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belirtilir.</w:t>
      </w:r>
      <w:r>
        <w:rPr>
          <w:sz w:val="18"/>
          <w:szCs w:val="18"/>
        </w:rPr>
        <w:t>”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583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;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eksikli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thalat Rejim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eki listelerde yer alan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vergisi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nmak suretiyle hesaplan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eksikli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nmak suretiyle hesaplan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11, 55 ve 56 no.lu ekleri, ekteki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82 no.lu ekinin 42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Antrepo,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depolama yerleri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idaresince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konulmas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izin verilen yerlere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ve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labilecek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depolanmamas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  <w:r>
        <w:rPr>
          <w:sz w:val="18"/>
          <w:szCs w:val="18"/>
        </w:rPr>
        <w:t>”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in;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4 ve 5 inci maddeleri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itibaren 3 ay sonra,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maddeleri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tarihinde,</w:t>
      </w:r>
    </w:p>
    <w:p w:rsidR="00317D8A" w:rsidRDefault="00317D8A" w:rsidP="00317D8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</w:t>
      </w:r>
      <w:proofErr w:type="gramEnd"/>
      <w:r>
        <w:rPr>
          <w:sz w:val="18"/>
          <w:szCs w:val="18"/>
        </w:rPr>
        <w:t xml:space="preserve"> girer.</w:t>
      </w:r>
    </w:p>
    <w:p w:rsidR="00317D8A" w:rsidRDefault="00317D8A" w:rsidP="00317D8A">
      <w:pPr>
        <w:pStyle w:val="3-NormalYaz"/>
        <w:spacing w:after="85"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317D8A" w:rsidRDefault="00317D8A" w:rsidP="00317D8A">
      <w:pPr>
        <w:pStyle w:val="3-NormalYaz"/>
        <w:spacing w:after="85" w:line="240" w:lineRule="exact"/>
        <w:ind w:firstLine="566"/>
        <w:rPr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3809"/>
        <w:gridCol w:w="4240"/>
      </w:tblGrid>
      <w:tr w:rsidR="00317D8A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>ö</w:t>
            </w:r>
            <w:r>
              <w:rPr>
                <w:b/>
                <w:sz w:val="18"/>
                <w:szCs w:val="18"/>
              </w:rPr>
              <w:t>netmeli</w:t>
            </w:r>
            <w:r>
              <w:rPr>
                <w:b/>
                <w:sz w:val="18"/>
                <w:szCs w:val="18"/>
              </w:rPr>
              <w:t>ğ</w:t>
            </w:r>
            <w:r>
              <w:rPr>
                <w:b/>
                <w:sz w:val="18"/>
                <w:szCs w:val="18"/>
              </w:rPr>
              <w:t>in Yay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mland</w:t>
            </w:r>
            <w:r>
              <w:rPr>
                <w:b/>
                <w:sz w:val="18"/>
                <w:szCs w:val="18"/>
              </w:rPr>
              <w:t>ığı</w:t>
            </w:r>
            <w:r>
              <w:rPr>
                <w:b/>
                <w:sz w:val="18"/>
                <w:szCs w:val="18"/>
              </w:rPr>
              <w:t xml:space="preserve"> Resm</w:t>
            </w:r>
            <w:r>
              <w:rPr>
                <w:b/>
                <w:sz w:val="18"/>
                <w:szCs w:val="18"/>
              </w:rPr>
              <w:t>î</w:t>
            </w:r>
            <w:r>
              <w:rPr>
                <w:b/>
                <w:sz w:val="18"/>
                <w:szCs w:val="18"/>
              </w:rPr>
              <w:t xml:space="preserve"> Gazete'nin</w:t>
            </w:r>
          </w:p>
        </w:tc>
      </w:tr>
      <w:tr w:rsidR="00317D8A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Say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ı</w:t>
            </w:r>
          </w:p>
        </w:tc>
      </w:tr>
      <w:tr w:rsidR="00317D8A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7/10/2009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27369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kerrer</w:t>
            </w:r>
          </w:p>
        </w:tc>
      </w:tr>
      <w:tr w:rsidR="00317D8A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>ö</w:t>
            </w:r>
            <w:r>
              <w:rPr>
                <w:b/>
                <w:sz w:val="18"/>
                <w:szCs w:val="18"/>
              </w:rPr>
              <w:t>netmelikte De</w:t>
            </w:r>
            <w:r>
              <w:rPr>
                <w:b/>
                <w:sz w:val="18"/>
                <w:szCs w:val="18"/>
              </w:rPr>
              <w:t>ğ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>iklik Yapan Y</w:t>
            </w:r>
            <w:r>
              <w:rPr>
                <w:b/>
                <w:sz w:val="18"/>
                <w:szCs w:val="18"/>
              </w:rPr>
              <w:t>ö</w:t>
            </w:r>
            <w:r>
              <w:rPr>
                <w:b/>
                <w:sz w:val="18"/>
                <w:szCs w:val="18"/>
              </w:rPr>
              <w:t>netmeliklerin Yay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mland</w:t>
            </w:r>
            <w:r>
              <w:rPr>
                <w:b/>
                <w:sz w:val="18"/>
                <w:szCs w:val="18"/>
              </w:rPr>
              <w:t>ığı</w:t>
            </w:r>
            <w:r>
              <w:rPr>
                <w:b/>
                <w:sz w:val="18"/>
                <w:szCs w:val="18"/>
              </w:rPr>
              <w:t xml:space="preserve"> Resm</w:t>
            </w:r>
            <w:r>
              <w:rPr>
                <w:b/>
                <w:sz w:val="18"/>
                <w:szCs w:val="18"/>
              </w:rPr>
              <w:t>î</w:t>
            </w:r>
            <w:r>
              <w:rPr>
                <w:b/>
                <w:sz w:val="18"/>
                <w:szCs w:val="18"/>
              </w:rPr>
              <w:t xml:space="preserve"> Gazete'nin</w:t>
            </w:r>
          </w:p>
        </w:tc>
      </w:tr>
      <w:tr w:rsidR="00317D8A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Say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ı</w:t>
            </w:r>
          </w:p>
        </w:tc>
      </w:tr>
      <w:tr w:rsidR="00317D8A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31/3/2010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27538</w:t>
            </w:r>
          </w:p>
        </w:tc>
      </w:tr>
      <w:tr w:rsidR="00317D8A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2/7/2010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27629</w:t>
            </w:r>
          </w:p>
        </w:tc>
      </w:tr>
      <w:tr w:rsidR="00317D8A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2/12/2010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27773</w:t>
            </w:r>
          </w:p>
        </w:tc>
      </w:tr>
      <w:tr w:rsidR="00317D8A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31/12/2010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27802</w:t>
            </w:r>
          </w:p>
        </w:tc>
      </w:tr>
      <w:tr w:rsidR="00317D8A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26/3/2011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27886</w:t>
            </w:r>
          </w:p>
        </w:tc>
      </w:tr>
      <w:tr w:rsidR="00317D8A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30/4/2011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27920</w:t>
            </w:r>
          </w:p>
        </w:tc>
      </w:tr>
      <w:tr w:rsidR="00317D8A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23/5/2011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27942</w:t>
            </w:r>
          </w:p>
        </w:tc>
      </w:tr>
      <w:tr w:rsidR="00317D8A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16/7/2011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27996</w:t>
            </w:r>
          </w:p>
        </w:tc>
      </w:tr>
      <w:tr w:rsidR="00317D8A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2/11/2011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28103</w:t>
            </w:r>
          </w:p>
        </w:tc>
      </w:tr>
      <w:tr w:rsidR="00317D8A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28/12/2011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28156</w:t>
            </w:r>
          </w:p>
        </w:tc>
      </w:tr>
      <w:tr w:rsidR="00317D8A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31/3/2012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28250</w:t>
            </w:r>
          </w:p>
        </w:tc>
      </w:tr>
      <w:tr w:rsidR="00317D8A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12/6/2012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28321</w:t>
            </w:r>
          </w:p>
        </w:tc>
      </w:tr>
      <w:tr w:rsidR="00317D8A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20/11/2012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28473</w:t>
            </w:r>
          </w:p>
        </w:tc>
      </w:tr>
      <w:tr w:rsidR="00317D8A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10/1/2013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28524</w:t>
            </w:r>
          </w:p>
        </w:tc>
      </w:tr>
      <w:tr w:rsidR="00317D8A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7/2/2013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28552</w:t>
            </w:r>
          </w:p>
        </w:tc>
      </w:tr>
      <w:tr w:rsidR="00317D8A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5/4/2013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A" w:rsidRDefault="00317D8A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28609</w:t>
            </w:r>
          </w:p>
        </w:tc>
      </w:tr>
    </w:tbl>
    <w:p w:rsidR="00317D8A" w:rsidRDefault="00317D8A" w:rsidP="00317D8A">
      <w:pPr>
        <w:pStyle w:val="NormalWeb"/>
        <w:spacing w:before="0" w:beforeAutospacing="0" w:after="0" w:afterAutospacing="0"/>
        <w:jc w:val="both"/>
        <w:rPr>
          <w:b/>
          <w:sz w:val="18"/>
          <w:szCs w:val="18"/>
        </w:rPr>
      </w:pPr>
    </w:p>
    <w:p w:rsidR="00317D8A" w:rsidRDefault="00317D8A" w:rsidP="00317D8A">
      <w:pPr>
        <w:pStyle w:val="NormalWeb"/>
        <w:spacing w:before="0" w:beforeAutospacing="0" w:after="0" w:afterAutospacing="0"/>
        <w:jc w:val="both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1E0"/>
      </w:tblPr>
      <w:tblGrid>
        <w:gridCol w:w="2852"/>
        <w:gridCol w:w="2853"/>
        <w:gridCol w:w="2853"/>
      </w:tblGrid>
      <w:tr w:rsidR="00317D8A">
        <w:tc>
          <w:tcPr>
            <w:tcW w:w="285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17D8A" w:rsidRDefault="00317D8A">
            <w:pPr>
              <w:pStyle w:val="NormalWeb"/>
              <w:spacing w:before="0" w:beforeAutospacing="0" w:after="0" w:afterAutospacing="0"/>
              <w:jc w:val="center"/>
              <w:rPr>
                <w:rStyle w:val="Kpr"/>
                <w:b/>
                <w:sz w:val="18"/>
                <w:szCs w:val="18"/>
                <w:u w:val="none"/>
              </w:rPr>
            </w:pPr>
            <w:hyperlink r:id="rId7" w:history="1">
              <w:r>
                <w:rPr>
                  <w:rStyle w:val="Kpr"/>
                  <w:b/>
                  <w:sz w:val="18"/>
                  <w:szCs w:val="18"/>
                  <w:u w:val="none"/>
                </w:rPr>
                <w:t>EK 11</w:t>
              </w:r>
            </w:hyperlink>
          </w:p>
          <w:p w:rsidR="00317D8A" w:rsidRDefault="00317D8A">
            <w:pPr>
              <w:pStyle w:val="NormalWeb"/>
              <w:spacing w:before="0" w:beforeAutospacing="0" w:after="0" w:afterAutospacing="0"/>
              <w:jc w:val="center"/>
            </w:pPr>
            <w:hyperlink r:id="rId8" w:history="1">
              <w:r>
                <w:rPr>
                  <w:rStyle w:val="Kpr"/>
                  <w:b/>
                  <w:sz w:val="18"/>
                  <w:szCs w:val="18"/>
                </w:rPr>
                <w:t xml:space="preserve">BAZI MADDELERİN FİRE </w:t>
              </w:r>
              <w:r>
                <w:rPr>
                  <w:b/>
                  <w:color w:val="0000FF"/>
                  <w:sz w:val="18"/>
                  <w:szCs w:val="18"/>
                </w:rPr>
                <w:br/>
              </w:r>
              <w:r>
                <w:rPr>
                  <w:rStyle w:val="Kpr"/>
                  <w:b/>
                  <w:sz w:val="18"/>
                  <w:szCs w:val="18"/>
                </w:rPr>
                <w:t xml:space="preserve">ORANLARINA İLİŞKİN </w:t>
              </w:r>
              <w:r>
                <w:rPr>
                  <w:b/>
                  <w:color w:val="0000FF"/>
                  <w:sz w:val="18"/>
                  <w:szCs w:val="18"/>
                </w:rPr>
                <w:br/>
              </w:r>
              <w:r>
                <w:rPr>
                  <w:rStyle w:val="Kpr"/>
                  <w:b/>
                  <w:sz w:val="18"/>
                  <w:szCs w:val="18"/>
                </w:rPr>
                <w:t>LİSTE</w:t>
              </w:r>
            </w:hyperlink>
          </w:p>
        </w:tc>
        <w:tc>
          <w:tcPr>
            <w:tcW w:w="285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17D8A" w:rsidRDefault="00317D8A">
            <w:pPr>
              <w:pStyle w:val="NormalWeb"/>
              <w:spacing w:before="0" w:beforeAutospacing="0" w:after="0" w:afterAutospacing="0"/>
              <w:jc w:val="center"/>
              <w:rPr>
                <w:rStyle w:val="Kpr"/>
                <w:b/>
                <w:sz w:val="18"/>
                <w:szCs w:val="18"/>
              </w:rPr>
            </w:pPr>
            <w:hyperlink r:id="rId9" w:history="1">
              <w:r>
                <w:rPr>
                  <w:rStyle w:val="Kpr"/>
                  <w:b/>
                  <w:sz w:val="18"/>
                  <w:szCs w:val="18"/>
                </w:rPr>
                <w:t>EK 55</w:t>
              </w:r>
            </w:hyperlink>
          </w:p>
          <w:p w:rsidR="00317D8A" w:rsidRDefault="00317D8A">
            <w:pPr>
              <w:pStyle w:val="NormalWeb"/>
              <w:spacing w:before="0" w:beforeAutospacing="0" w:after="0" w:afterAutospacing="0"/>
              <w:jc w:val="center"/>
            </w:pPr>
            <w:hyperlink r:id="rId10" w:history="1">
              <w:r>
                <w:rPr>
                  <w:rStyle w:val="Kpr"/>
                  <w:b/>
                  <w:sz w:val="18"/>
                  <w:szCs w:val="18"/>
                </w:rPr>
                <w:t xml:space="preserve">EKONOMİK ETKİLİ </w:t>
              </w:r>
              <w:r>
                <w:rPr>
                  <w:b/>
                  <w:color w:val="0000FF"/>
                  <w:sz w:val="18"/>
                  <w:szCs w:val="18"/>
                </w:rPr>
                <w:br/>
              </w:r>
              <w:r>
                <w:rPr>
                  <w:rStyle w:val="Kpr"/>
                  <w:b/>
                  <w:sz w:val="18"/>
                  <w:szCs w:val="18"/>
                </w:rPr>
                <w:t xml:space="preserve">GÜMRÜK REJİMLERİ </w:t>
              </w:r>
              <w:r>
                <w:rPr>
                  <w:b/>
                  <w:color w:val="0000FF"/>
                  <w:sz w:val="18"/>
                  <w:szCs w:val="18"/>
                </w:rPr>
                <w:br/>
              </w:r>
              <w:r>
                <w:rPr>
                  <w:rStyle w:val="Kpr"/>
                  <w:b/>
                  <w:sz w:val="18"/>
                  <w:szCs w:val="18"/>
                </w:rPr>
                <w:t>BAŞVURU FORMU</w:t>
              </w:r>
            </w:hyperlink>
          </w:p>
        </w:tc>
        <w:tc>
          <w:tcPr>
            <w:tcW w:w="285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17D8A" w:rsidRDefault="00317D8A">
            <w:pPr>
              <w:pStyle w:val="NormalWeb"/>
              <w:spacing w:before="0" w:beforeAutospacing="0" w:after="0" w:afterAutospacing="0"/>
              <w:jc w:val="center"/>
              <w:rPr>
                <w:rStyle w:val="Kpr"/>
                <w:b/>
                <w:sz w:val="18"/>
                <w:szCs w:val="18"/>
              </w:rPr>
            </w:pPr>
            <w:hyperlink r:id="rId11" w:history="1">
              <w:r>
                <w:rPr>
                  <w:rStyle w:val="Kpr"/>
                  <w:b/>
                  <w:sz w:val="18"/>
                  <w:szCs w:val="18"/>
                </w:rPr>
                <w:t>EK 56</w:t>
              </w:r>
            </w:hyperlink>
          </w:p>
          <w:p w:rsidR="00317D8A" w:rsidRDefault="00317D8A">
            <w:pPr>
              <w:pStyle w:val="NormalWeb"/>
              <w:spacing w:before="0" w:beforeAutospacing="0" w:after="0" w:afterAutospacing="0"/>
              <w:jc w:val="center"/>
            </w:pPr>
            <w:hyperlink r:id="rId12" w:history="1">
              <w:r>
                <w:rPr>
                  <w:rStyle w:val="Kpr"/>
                  <w:b/>
                  <w:sz w:val="18"/>
                  <w:szCs w:val="18"/>
                </w:rPr>
                <w:t xml:space="preserve">EKONOMİK ETKİLİ </w:t>
              </w:r>
              <w:r>
                <w:rPr>
                  <w:b/>
                  <w:color w:val="0000FF"/>
                  <w:sz w:val="18"/>
                  <w:szCs w:val="18"/>
                </w:rPr>
                <w:br/>
              </w:r>
              <w:r>
                <w:rPr>
                  <w:rStyle w:val="Kpr"/>
                  <w:b/>
                  <w:sz w:val="18"/>
                  <w:szCs w:val="18"/>
                </w:rPr>
                <w:t xml:space="preserve">GÜMRÜK REJİMLERİ </w:t>
              </w:r>
              <w:r>
                <w:rPr>
                  <w:b/>
                  <w:color w:val="0000FF"/>
                  <w:sz w:val="18"/>
                  <w:szCs w:val="18"/>
                </w:rPr>
                <w:br/>
              </w:r>
              <w:r>
                <w:rPr>
                  <w:rStyle w:val="Kpr"/>
                  <w:b/>
                  <w:sz w:val="18"/>
                  <w:szCs w:val="18"/>
                </w:rPr>
                <w:t>İZİN FORMU</w:t>
              </w:r>
            </w:hyperlink>
          </w:p>
        </w:tc>
      </w:tr>
    </w:tbl>
    <w:p w:rsidR="00317D8A" w:rsidRDefault="00317D8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317D8A" w:rsidSect="0062762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39F" w:rsidRDefault="009A239F" w:rsidP="00405B55">
      <w:pPr>
        <w:spacing w:after="0" w:line="240" w:lineRule="auto"/>
      </w:pPr>
      <w:r>
        <w:separator/>
      </w:r>
    </w:p>
  </w:endnote>
  <w:endnote w:type="continuationSeparator" w:id="0">
    <w:p w:rsidR="009A239F" w:rsidRDefault="009A239F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A41BEF">
        <w:pPr>
          <w:pStyle w:val="Altbilgi"/>
          <w:jc w:val="center"/>
        </w:pPr>
        <w:fldSimple w:instr=" PAGE   \* MERGEFORMAT ">
          <w:r w:rsidR="00317D8A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39F" w:rsidRDefault="009A239F" w:rsidP="00405B55">
      <w:pPr>
        <w:spacing w:after="0" w:line="240" w:lineRule="auto"/>
      </w:pPr>
      <w:r>
        <w:separator/>
      </w:r>
    </w:p>
  </w:footnote>
  <w:footnote w:type="continuationSeparator" w:id="0">
    <w:p w:rsidR="009A239F" w:rsidRDefault="009A239F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43B46"/>
    <w:rsid w:val="00047230"/>
    <w:rsid w:val="00052E9A"/>
    <w:rsid w:val="0005336C"/>
    <w:rsid w:val="00054B10"/>
    <w:rsid w:val="00057917"/>
    <w:rsid w:val="000679A9"/>
    <w:rsid w:val="00067DFB"/>
    <w:rsid w:val="00070398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D4989"/>
    <w:rsid w:val="000E27CF"/>
    <w:rsid w:val="0010723B"/>
    <w:rsid w:val="00110671"/>
    <w:rsid w:val="00112A20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97D0B"/>
    <w:rsid w:val="001A0BF3"/>
    <w:rsid w:val="001A1CED"/>
    <w:rsid w:val="001A3B7D"/>
    <w:rsid w:val="001A57F0"/>
    <w:rsid w:val="001B2C5C"/>
    <w:rsid w:val="001C2724"/>
    <w:rsid w:val="001D6BF1"/>
    <w:rsid w:val="001F4F88"/>
    <w:rsid w:val="001F610D"/>
    <w:rsid w:val="0021202A"/>
    <w:rsid w:val="002146CB"/>
    <w:rsid w:val="00216568"/>
    <w:rsid w:val="002178E4"/>
    <w:rsid w:val="00226FDD"/>
    <w:rsid w:val="00230137"/>
    <w:rsid w:val="002321A3"/>
    <w:rsid w:val="002344DB"/>
    <w:rsid w:val="002368D5"/>
    <w:rsid w:val="00250F87"/>
    <w:rsid w:val="00252E2F"/>
    <w:rsid w:val="00253621"/>
    <w:rsid w:val="0025542E"/>
    <w:rsid w:val="00255D66"/>
    <w:rsid w:val="002566FC"/>
    <w:rsid w:val="00261D6D"/>
    <w:rsid w:val="00265910"/>
    <w:rsid w:val="00267DDF"/>
    <w:rsid w:val="0029139F"/>
    <w:rsid w:val="00293A69"/>
    <w:rsid w:val="002B18B5"/>
    <w:rsid w:val="002B4AF0"/>
    <w:rsid w:val="002D5E75"/>
    <w:rsid w:val="002E68E5"/>
    <w:rsid w:val="002F1327"/>
    <w:rsid w:val="00317A78"/>
    <w:rsid w:val="00317D8A"/>
    <w:rsid w:val="00317E90"/>
    <w:rsid w:val="00323372"/>
    <w:rsid w:val="00337C5F"/>
    <w:rsid w:val="003528DF"/>
    <w:rsid w:val="00357D3F"/>
    <w:rsid w:val="00364757"/>
    <w:rsid w:val="0037350C"/>
    <w:rsid w:val="00376744"/>
    <w:rsid w:val="00383077"/>
    <w:rsid w:val="00396CF8"/>
    <w:rsid w:val="00397D65"/>
    <w:rsid w:val="003A10CD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0A67"/>
    <w:rsid w:val="00421AF3"/>
    <w:rsid w:val="00430C5D"/>
    <w:rsid w:val="00432B0B"/>
    <w:rsid w:val="00436ABA"/>
    <w:rsid w:val="004455DE"/>
    <w:rsid w:val="00450F66"/>
    <w:rsid w:val="004516C8"/>
    <w:rsid w:val="00453B63"/>
    <w:rsid w:val="00454C3F"/>
    <w:rsid w:val="004606CD"/>
    <w:rsid w:val="00476187"/>
    <w:rsid w:val="004814E7"/>
    <w:rsid w:val="00481C05"/>
    <w:rsid w:val="0049683C"/>
    <w:rsid w:val="004A1424"/>
    <w:rsid w:val="004B52F5"/>
    <w:rsid w:val="004B60DF"/>
    <w:rsid w:val="004B7116"/>
    <w:rsid w:val="004D6CD7"/>
    <w:rsid w:val="004E1C0B"/>
    <w:rsid w:val="004E2148"/>
    <w:rsid w:val="004E48A2"/>
    <w:rsid w:val="004F60B2"/>
    <w:rsid w:val="00510570"/>
    <w:rsid w:val="005110DE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917E7"/>
    <w:rsid w:val="005A10E4"/>
    <w:rsid w:val="005A3F48"/>
    <w:rsid w:val="005A57F8"/>
    <w:rsid w:val="005A6FF2"/>
    <w:rsid w:val="005A77F3"/>
    <w:rsid w:val="005A79FB"/>
    <w:rsid w:val="005B2FA3"/>
    <w:rsid w:val="005B42A5"/>
    <w:rsid w:val="005B65AC"/>
    <w:rsid w:val="005C2264"/>
    <w:rsid w:val="005D0BF1"/>
    <w:rsid w:val="005D4E02"/>
    <w:rsid w:val="005E2AE1"/>
    <w:rsid w:val="005E355C"/>
    <w:rsid w:val="005E4D72"/>
    <w:rsid w:val="005F4336"/>
    <w:rsid w:val="005F757D"/>
    <w:rsid w:val="00601106"/>
    <w:rsid w:val="00601F8B"/>
    <w:rsid w:val="00604598"/>
    <w:rsid w:val="0060477D"/>
    <w:rsid w:val="00627628"/>
    <w:rsid w:val="0064719E"/>
    <w:rsid w:val="00647315"/>
    <w:rsid w:val="00654C31"/>
    <w:rsid w:val="00664068"/>
    <w:rsid w:val="00675F5C"/>
    <w:rsid w:val="00675F74"/>
    <w:rsid w:val="00681E0A"/>
    <w:rsid w:val="00686CC2"/>
    <w:rsid w:val="006A22BA"/>
    <w:rsid w:val="006B0681"/>
    <w:rsid w:val="006B2CEF"/>
    <w:rsid w:val="006C4939"/>
    <w:rsid w:val="006E556D"/>
    <w:rsid w:val="006F0075"/>
    <w:rsid w:val="006F02F4"/>
    <w:rsid w:val="006F662A"/>
    <w:rsid w:val="006F7D31"/>
    <w:rsid w:val="00706AFC"/>
    <w:rsid w:val="0070722F"/>
    <w:rsid w:val="0071530D"/>
    <w:rsid w:val="00716999"/>
    <w:rsid w:val="00723D41"/>
    <w:rsid w:val="0073019D"/>
    <w:rsid w:val="00743374"/>
    <w:rsid w:val="00750C98"/>
    <w:rsid w:val="0075602A"/>
    <w:rsid w:val="00763270"/>
    <w:rsid w:val="0076633F"/>
    <w:rsid w:val="007716A4"/>
    <w:rsid w:val="007822C1"/>
    <w:rsid w:val="00785189"/>
    <w:rsid w:val="00785D8B"/>
    <w:rsid w:val="007A478C"/>
    <w:rsid w:val="007B433E"/>
    <w:rsid w:val="007B6006"/>
    <w:rsid w:val="007B7523"/>
    <w:rsid w:val="007C5D0B"/>
    <w:rsid w:val="007E51B7"/>
    <w:rsid w:val="007E7E70"/>
    <w:rsid w:val="007F49FB"/>
    <w:rsid w:val="007F4DB8"/>
    <w:rsid w:val="0080675C"/>
    <w:rsid w:val="00806D76"/>
    <w:rsid w:val="00815BE2"/>
    <w:rsid w:val="0082071C"/>
    <w:rsid w:val="008307F5"/>
    <w:rsid w:val="00831A0E"/>
    <w:rsid w:val="008426CE"/>
    <w:rsid w:val="0084280B"/>
    <w:rsid w:val="00852FD9"/>
    <w:rsid w:val="00855576"/>
    <w:rsid w:val="008661A5"/>
    <w:rsid w:val="00880D43"/>
    <w:rsid w:val="00887305"/>
    <w:rsid w:val="008951E8"/>
    <w:rsid w:val="008C30A2"/>
    <w:rsid w:val="008C5F26"/>
    <w:rsid w:val="008C70DA"/>
    <w:rsid w:val="008C7794"/>
    <w:rsid w:val="008D1728"/>
    <w:rsid w:val="008D61B9"/>
    <w:rsid w:val="008E6F06"/>
    <w:rsid w:val="008F7815"/>
    <w:rsid w:val="0090323A"/>
    <w:rsid w:val="00907F78"/>
    <w:rsid w:val="009203A2"/>
    <w:rsid w:val="009356B6"/>
    <w:rsid w:val="0093645D"/>
    <w:rsid w:val="00943E0E"/>
    <w:rsid w:val="009458EF"/>
    <w:rsid w:val="00953952"/>
    <w:rsid w:val="00970F04"/>
    <w:rsid w:val="00971E1A"/>
    <w:rsid w:val="00973E3F"/>
    <w:rsid w:val="00976002"/>
    <w:rsid w:val="00996D2A"/>
    <w:rsid w:val="00997DD7"/>
    <w:rsid w:val="009A0147"/>
    <w:rsid w:val="009A01BE"/>
    <w:rsid w:val="009A1FB5"/>
    <w:rsid w:val="009A239F"/>
    <w:rsid w:val="009B6B6A"/>
    <w:rsid w:val="009D1064"/>
    <w:rsid w:val="009D51CB"/>
    <w:rsid w:val="009E1A19"/>
    <w:rsid w:val="009E5C35"/>
    <w:rsid w:val="009F1AA3"/>
    <w:rsid w:val="009F2D7D"/>
    <w:rsid w:val="009F3488"/>
    <w:rsid w:val="00A01D20"/>
    <w:rsid w:val="00A02639"/>
    <w:rsid w:val="00A02D48"/>
    <w:rsid w:val="00A10905"/>
    <w:rsid w:val="00A26545"/>
    <w:rsid w:val="00A373C8"/>
    <w:rsid w:val="00A41BEF"/>
    <w:rsid w:val="00A56163"/>
    <w:rsid w:val="00A61B4F"/>
    <w:rsid w:val="00A6242F"/>
    <w:rsid w:val="00A64B17"/>
    <w:rsid w:val="00A736A1"/>
    <w:rsid w:val="00A75487"/>
    <w:rsid w:val="00A81FD8"/>
    <w:rsid w:val="00A86A0A"/>
    <w:rsid w:val="00A86C21"/>
    <w:rsid w:val="00A966B8"/>
    <w:rsid w:val="00A973F8"/>
    <w:rsid w:val="00AA32BC"/>
    <w:rsid w:val="00AB01BC"/>
    <w:rsid w:val="00AB1D3D"/>
    <w:rsid w:val="00AD5B84"/>
    <w:rsid w:val="00AE4861"/>
    <w:rsid w:val="00AF10DD"/>
    <w:rsid w:val="00B02D71"/>
    <w:rsid w:val="00B03A0C"/>
    <w:rsid w:val="00B04F4B"/>
    <w:rsid w:val="00B1197C"/>
    <w:rsid w:val="00B25BDD"/>
    <w:rsid w:val="00B25D28"/>
    <w:rsid w:val="00B315A5"/>
    <w:rsid w:val="00B43221"/>
    <w:rsid w:val="00B50D3A"/>
    <w:rsid w:val="00B5143F"/>
    <w:rsid w:val="00B52F1E"/>
    <w:rsid w:val="00B644B3"/>
    <w:rsid w:val="00B73C0E"/>
    <w:rsid w:val="00B8184E"/>
    <w:rsid w:val="00B86757"/>
    <w:rsid w:val="00BA038C"/>
    <w:rsid w:val="00BB6F50"/>
    <w:rsid w:val="00BC163D"/>
    <w:rsid w:val="00BE08E0"/>
    <w:rsid w:val="00BE1BA3"/>
    <w:rsid w:val="00BE5570"/>
    <w:rsid w:val="00BF1681"/>
    <w:rsid w:val="00BF2824"/>
    <w:rsid w:val="00BF3772"/>
    <w:rsid w:val="00BF4EE1"/>
    <w:rsid w:val="00BF697B"/>
    <w:rsid w:val="00BF7758"/>
    <w:rsid w:val="00C22D81"/>
    <w:rsid w:val="00C23B86"/>
    <w:rsid w:val="00C25A1D"/>
    <w:rsid w:val="00C305CC"/>
    <w:rsid w:val="00C32D12"/>
    <w:rsid w:val="00C32E46"/>
    <w:rsid w:val="00C35697"/>
    <w:rsid w:val="00C3688A"/>
    <w:rsid w:val="00C524D2"/>
    <w:rsid w:val="00C65E77"/>
    <w:rsid w:val="00C97C1B"/>
    <w:rsid w:val="00CA3F82"/>
    <w:rsid w:val="00CA6EEC"/>
    <w:rsid w:val="00CB2A3D"/>
    <w:rsid w:val="00CB2C30"/>
    <w:rsid w:val="00CC0481"/>
    <w:rsid w:val="00CC1519"/>
    <w:rsid w:val="00CE4549"/>
    <w:rsid w:val="00CE464E"/>
    <w:rsid w:val="00CE5503"/>
    <w:rsid w:val="00CE6714"/>
    <w:rsid w:val="00CE72C5"/>
    <w:rsid w:val="00CF72DA"/>
    <w:rsid w:val="00CF7B26"/>
    <w:rsid w:val="00D02BDC"/>
    <w:rsid w:val="00D0464C"/>
    <w:rsid w:val="00D05283"/>
    <w:rsid w:val="00D14876"/>
    <w:rsid w:val="00D364D5"/>
    <w:rsid w:val="00D42B71"/>
    <w:rsid w:val="00D440A9"/>
    <w:rsid w:val="00D50908"/>
    <w:rsid w:val="00D52AC5"/>
    <w:rsid w:val="00D53EE2"/>
    <w:rsid w:val="00D62F12"/>
    <w:rsid w:val="00D62F67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379C4"/>
    <w:rsid w:val="00E4332A"/>
    <w:rsid w:val="00E4418B"/>
    <w:rsid w:val="00E51039"/>
    <w:rsid w:val="00E66126"/>
    <w:rsid w:val="00E712D9"/>
    <w:rsid w:val="00E818DC"/>
    <w:rsid w:val="00E9148A"/>
    <w:rsid w:val="00E97B80"/>
    <w:rsid w:val="00EA2F3D"/>
    <w:rsid w:val="00EA56F1"/>
    <w:rsid w:val="00EA6AC3"/>
    <w:rsid w:val="00EB1105"/>
    <w:rsid w:val="00EB6368"/>
    <w:rsid w:val="00EB651E"/>
    <w:rsid w:val="00EC459A"/>
    <w:rsid w:val="00EC466C"/>
    <w:rsid w:val="00EE27DE"/>
    <w:rsid w:val="00F0781D"/>
    <w:rsid w:val="00F108DF"/>
    <w:rsid w:val="00F222BF"/>
    <w:rsid w:val="00F35743"/>
    <w:rsid w:val="00F36C8C"/>
    <w:rsid w:val="00F6403C"/>
    <w:rsid w:val="00F67A94"/>
    <w:rsid w:val="00F70667"/>
    <w:rsid w:val="00F76D09"/>
    <w:rsid w:val="00F81FF2"/>
    <w:rsid w:val="00F836B4"/>
    <w:rsid w:val="00F95946"/>
    <w:rsid w:val="00FB4001"/>
    <w:rsid w:val="00FB5C22"/>
    <w:rsid w:val="00FD2620"/>
    <w:rsid w:val="00FD40C1"/>
    <w:rsid w:val="00FE5F56"/>
    <w:rsid w:val="00FF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  <w:style w:type="character" w:styleId="Vurgu">
    <w:name w:val="Emphasis"/>
    <w:basedOn w:val="VarsaylanParagrafYazTipi"/>
    <w:uiPriority w:val="20"/>
    <w:qFormat/>
    <w:rsid w:val="005917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eskiler/2013/05/20130515-2-1.do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05/20130515-2-1.doc" TargetMode="External"/><Relationship Id="rId12" Type="http://schemas.openxmlformats.org/officeDocument/2006/relationships/hyperlink" Target="http://www.resmigazete.gov.tr/eskiler/2013/05/20130515-2-3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smigazete.gov.tr/eskiler/2013/05/20130515-2-3.xls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esmigazete.gov.tr/eskiler/2013/05/20130515-2-2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smigazete.gov.tr/eskiler/2013/05/20130515-2-2.xls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2356</Words>
  <Characters>13435</Characters>
  <Application>Microsoft Office Word</Application>
  <DocSecurity>0</DocSecurity>
  <Lines>111</Lines>
  <Paragraphs>31</Paragraphs>
  <ScaleCrop>false</ScaleCrop>
  <Company>TURMOB</Company>
  <LinksUpToDate>false</LinksUpToDate>
  <CharactersWithSpaces>15760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335</cp:revision>
  <cp:lastPrinted>2013-01-07T06:33:00Z</cp:lastPrinted>
  <dcterms:created xsi:type="dcterms:W3CDTF">2013-01-02T06:53:00Z</dcterms:created>
  <dcterms:modified xsi:type="dcterms:W3CDTF">2013-05-15T05:29:00Z</dcterms:modified>
</cp:coreProperties>
</file>