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F508F" w:rsidRDefault="00EF508F" w:rsidP="00EB651E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  <w:r w:rsidRPr="00EF508F">
        <w:rPr>
          <w:rFonts w:ascii="Times New Roman" w:hAnsi="Times New Roman" w:cs="Times New Roman"/>
          <w:b/>
          <w:u w:val="single"/>
        </w:rPr>
        <w:t>17</w:t>
      </w:r>
      <w:r w:rsidR="00D53EE2" w:rsidRPr="00EF508F">
        <w:rPr>
          <w:rFonts w:ascii="Times New Roman" w:hAnsi="Times New Roman" w:cs="Times New Roman"/>
          <w:b/>
          <w:u w:val="single"/>
        </w:rPr>
        <w:t xml:space="preserve"> Mayıs</w:t>
      </w:r>
      <w:r w:rsidR="0049683C" w:rsidRPr="00EF508F">
        <w:rPr>
          <w:rFonts w:ascii="Times New Roman" w:hAnsi="Times New Roman" w:cs="Times New Roman"/>
          <w:b/>
          <w:u w:val="single"/>
        </w:rPr>
        <w:t xml:space="preserve"> 2013,</w:t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ab/>
      </w:r>
      <w:r w:rsidR="00317A78" w:rsidRPr="00EF508F">
        <w:rPr>
          <w:rFonts w:ascii="Times New Roman" w:hAnsi="Times New Roman" w:cs="Times New Roman"/>
          <w:b/>
          <w:u w:val="single"/>
        </w:rPr>
        <w:tab/>
      </w:r>
      <w:r w:rsidR="0049683C" w:rsidRPr="00EF508F">
        <w:rPr>
          <w:rFonts w:ascii="Times New Roman" w:hAnsi="Times New Roman" w:cs="Times New Roman"/>
          <w:b/>
          <w:u w:val="single"/>
        </w:rPr>
        <w:t xml:space="preserve">   </w:t>
      </w:r>
      <w:r w:rsidR="004516C8" w:rsidRPr="00EF508F">
        <w:rPr>
          <w:rFonts w:ascii="Times New Roman" w:hAnsi="Times New Roman" w:cs="Times New Roman"/>
          <w:b/>
          <w:u w:val="single"/>
        </w:rPr>
        <w:t xml:space="preserve">      </w:t>
      </w:r>
      <w:r w:rsidRPr="00EF508F">
        <w:rPr>
          <w:rFonts w:ascii="Times New Roman" w:hAnsi="Times New Roman" w:cs="Times New Roman"/>
          <w:b/>
          <w:u w:val="single"/>
        </w:rPr>
        <w:t xml:space="preserve">    </w:t>
      </w:r>
      <w:proofErr w:type="gramStart"/>
      <w:r w:rsidRPr="00EF508F">
        <w:rPr>
          <w:rFonts w:ascii="Times New Roman" w:hAnsi="Times New Roman" w:cs="Times New Roman"/>
          <w:b/>
          <w:u w:val="single"/>
        </w:rPr>
        <w:t>Sayı : 28650</w:t>
      </w:r>
      <w:proofErr w:type="gramEnd"/>
    </w:p>
    <w:p w:rsidR="00513DFA" w:rsidRPr="00EF508F" w:rsidRDefault="00513DFA" w:rsidP="00EB651E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</w:p>
    <w:p w:rsidR="00EF508F" w:rsidRPr="00EF508F" w:rsidRDefault="00EF508F" w:rsidP="00EB651E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color w:val="000000"/>
          <w:lang w:eastAsia="tr-TR"/>
        </w:rPr>
        <w:t>Türkiye Cumhuriyet Merkez Bankasından:</w:t>
      </w:r>
    </w:p>
    <w:p w:rsidR="00EF508F" w:rsidRPr="00EF508F" w:rsidRDefault="00EF508F" w:rsidP="00EF50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ZORUNLU KARŞILIKLAR HAKKINDA TEBLİĞ (SAYI: 2005/1)’DE DEĞİŞİKLİK YAPILMASINA DAİR TEBLİĞ (SAYI: 2013/7)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MADDE 1 –</w:t>
      </w: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gramStart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16/11/2005</w:t>
      </w:r>
      <w:proofErr w:type="gramEnd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tarihli ve 25995 sayılı Resmî Gazete'de yayımlanan Zorunlu Karşılıklar Hakkında Tebliğ (Sayı: 2005/1)’in 5 inci maddesinin birinci fıkrasının (b) bendinin (1), (4) ve (5) numaralı alt bentleri aşağıdaki şekilde değiştirilmiştir.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“1) Vadesiz ve ihbarlı döviz tevdiat, yabancı para özel cari ve vadesiz kıymetli maden depo hesapları ile 1 aya kadar, 3 aya kadar, 6 aya kadar ve 1 yıla kadar vadeli döviz tevdiat, yabancı para katılma ve kıymetli maden depo hesaplarında yüzde 13,”</w:t>
      </w:r>
    </w:p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“4) 1 yıla kadar (1 yıl dâhil) vadeli yabancı para diğer yükümlülüklerde yüzde 13,</w:t>
      </w:r>
    </w:p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5) 3 yıla kadar (3 yıl dâhil) vadeli yabancı para diğer yükümlülüklerde yüzde 11,”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MADDE 2 – </w:t>
      </w: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Aynı Tebliğin 6 </w:t>
      </w:r>
      <w:proofErr w:type="spellStart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ncı</w:t>
      </w:r>
      <w:proofErr w:type="spellEnd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maddesinin dördüncü fıkrasının (a) bendinin (1) numaralı alt bendi aşağıdaki şekilde değiştirilmiştir.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EF508F" w:rsidRPr="00EF508F" w:rsidRDefault="00EF508F" w:rsidP="00EF508F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“1) En fazla yüzde 60’ı; tabloda belirtilen dilimlere denk gelen tutarların karşılarında gösterilen katsayılar ile çarpılmak suretiyle bulunan toplam tutar üzerinden, en az yüzde 50’si ABD doları cinsinden olmak üzere ABD doları veya </w:t>
      </w:r>
      <w:proofErr w:type="spellStart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euro</w:t>
      </w:r>
      <w:proofErr w:type="spellEnd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döviz cinslerinden,</w:t>
      </w:r>
    </w:p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3"/>
        <w:gridCol w:w="4252"/>
      </w:tblGrid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İmkân Dilimleri (%)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Katsayı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0-30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1,4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30-35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1,5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35-40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1,8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40-45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2,2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45-50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2,5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50-55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2,7</w:t>
            </w:r>
          </w:p>
        </w:tc>
      </w:tr>
      <w:tr w:rsidR="00EF508F" w:rsidRPr="00EF508F">
        <w:trPr>
          <w:trHeight w:val="375"/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55-60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08F" w:rsidRPr="00EF508F" w:rsidRDefault="00EF508F" w:rsidP="00EF50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F508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2,8</w:t>
            </w:r>
          </w:p>
        </w:tc>
      </w:tr>
    </w:tbl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”</w:t>
      </w:r>
    </w:p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MADDE 3 –</w:t>
      </w: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Bu Tebliğ </w:t>
      </w:r>
      <w:proofErr w:type="gramStart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>24/5/2013</w:t>
      </w:r>
      <w:proofErr w:type="gramEnd"/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tarihinde yürürlüğe girer.</w:t>
      </w:r>
    </w:p>
    <w:p w:rsidR="00EF508F" w:rsidRPr="00EF508F" w:rsidRDefault="00EF508F" w:rsidP="00EF5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EF508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MADDE 4 –</w:t>
      </w:r>
      <w:r w:rsidRPr="00EF508F">
        <w:rPr>
          <w:rFonts w:ascii="Times New Roman" w:eastAsia="Times New Roman" w:hAnsi="Times New Roman" w:cs="Times New Roman"/>
          <w:color w:val="000000"/>
          <w:lang w:eastAsia="tr-TR"/>
        </w:rPr>
        <w:t xml:space="preserve"> Bu Tebliğ hükümlerini Türkiye Cumhuriyet Merkez Bankası Başkanı yürütür.</w:t>
      </w:r>
    </w:p>
    <w:p w:rsidR="00EF508F" w:rsidRPr="00EF508F" w:rsidRDefault="00EF508F" w:rsidP="00EB651E">
      <w:pPr>
        <w:spacing w:after="0" w:line="280" w:lineRule="atLeast"/>
        <w:rPr>
          <w:rFonts w:ascii="Times New Roman" w:hAnsi="Times New Roman" w:cs="Times New Roman"/>
          <w:b/>
          <w:u w:val="single"/>
        </w:rPr>
      </w:pPr>
    </w:p>
    <w:sectPr w:rsidR="00EF508F" w:rsidRPr="00EF508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79" w:rsidRDefault="008B3B79" w:rsidP="00405B55">
      <w:pPr>
        <w:spacing w:after="0" w:line="240" w:lineRule="auto"/>
      </w:pPr>
      <w:r>
        <w:separator/>
      </w:r>
    </w:p>
  </w:endnote>
  <w:endnote w:type="continuationSeparator" w:id="0">
    <w:p w:rsidR="008B3B79" w:rsidRDefault="008B3B79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0759A2">
        <w:pPr>
          <w:pStyle w:val="Altbilgi"/>
          <w:jc w:val="center"/>
        </w:pPr>
        <w:fldSimple w:instr=" PAGE   \* MERGEFORMAT ">
          <w:r w:rsidR="00EF508F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79" w:rsidRDefault="008B3B79" w:rsidP="00405B55">
      <w:pPr>
        <w:spacing w:after="0" w:line="240" w:lineRule="auto"/>
      </w:pPr>
      <w:r>
        <w:separator/>
      </w:r>
    </w:p>
  </w:footnote>
  <w:footnote w:type="continuationSeparator" w:id="0">
    <w:p w:rsidR="008B3B79" w:rsidRDefault="008B3B79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224</Words>
  <Characters>1282</Characters>
  <Application>Microsoft Office Word</Application>
  <DocSecurity>0</DocSecurity>
  <Lines>10</Lines>
  <Paragraphs>3</Paragraphs>
  <ScaleCrop>false</ScaleCrop>
  <Company>TURMOB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339</cp:revision>
  <cp:lastPrinted>2013-01-07T06:33:00Z</cp:lastPrinted>
  <dcterms:created xsi:type="dcterms:W3CDTF">2013-01-02T06:53:00Z</dcterms:created>
  <dcterms:modified xsi:type="dcterms:W3CDTF">2013-05-17T05:25:00Z</dcterms:modified>
</cp:coreProperties>
</file>