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6790E" w:rsidRDefault="00A42566" w:rsidP="00E6790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D53EE2" w:rsidRPr="00E6790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E6790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679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679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679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679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679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679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679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679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6790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6790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6790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E6790E" w:rsidRPr="00E6790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28654</w:t>
      </w:r>
    </w:p>
    <w:p w:rsidR="00513DFA" w:rsidRPr="00E6790E" w:rsidRDefault="00513DFA" w:rsidP="00E6790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790E">
        <w:rPr>
          <w:rFonts w:ascii="Times New Roman" w:hAnsi="Times New Roman" w:cs="Times New Roman"/>
          <w:b/>
          <w:sz w:val="20"/>
          <w:szCs w:val="20"/>
        </w:rPr>
        <w:t>Bilim, Sanayi ve Teknoloji Bakanlığından: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6790E" w:rsidRPr="00E6790E" w:rsidRDefault="00E6790E" w:rsidP="00E6790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E6790E">
        <w:rPr>
          <w:b/>
          <w:bCs/>
          <w:sz w:val="20"/>
          <w:szCs w:val="20"/>
        </w:rPr>
        <w:t>HAMMADDE VE ŞEKER FİYATLARI YÖNETMELİĞİNDE DEĞİŞİKLİK YAPILMASINA DAİR YÖNETMELİK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Style w:val="Gl"/>
          <w:rFonts w:ascii="Times New Roman" w:hAnsi="Times New Roman" w:cs="Times New Roman"/>
          <w:sz w:val="20"/>
          <w:szCs w:val="20"/>
        </w:rPr>
        <w:t xml:space="preserve">MADDE 1 – </w:t>
      </w:r>
      <w:proofErr w:type="gramStart"/>
      <w:r w:rsidRPr="00E6790E">
        <w:rPr>
          <w:rFonts w:ascii="Times New Roman" w:hAnsi="Times New Roman" w:cs="Times New Roman"/>
          <w:sz w:val="20"/>
          <w:szCs w:val="20"/>
        </w:rPr>
        <w:t>28/6/2002</w:t>
      </w:r>
      <w:proofErr w:type="gramEnd"/>
      <w:r w:rsidRPr="00E6790E">
        <w:rPr>
          <w:rFonts w:ascii="Times New Roman" w:hAnsi="Times New Roman" w:cs="Times New Roman"/>
          <w:sz w:val="20"/>
          <w:szCs w:val="20"/>
        </w:rPr>
        <w:t xml:space="preserve"> tarihli ve 24799 sayılı Resmî Gazete’de yayımlanan Hammadde ve Şeker Fiyatları Yönetmeliğinin 3 üncü maddesinin birinci fıkrasının (a) bendi aşağıdaki şekilde değiştirilmiş, (ı) bendinde yer alan “(c)” ibaresi “(d)” olarak değiştirilmiş ve aynı fıkraya aşağıdaki bent eklenmiştir.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“a) Bakanlık: Ekonomi Bakanlığını,”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“i) Münavebe: Şekerin hammaddesi olan bitkiler ile diğer kültür bitkilerinin, aynı alanda belirli yıl aralıkları ile iklim ve toprak şartları dikkate alınarak yetiştirilmesi veya üretilmesini,”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Style w:val="Gl"/>
          <w:rFonts w:ascii="Times New Roman" w:hAnsi="Times New Roman" w:cs="Times New Roman"/>
          <w:sz w:val="20"/>
          <w:szCs w:val="20"/>
        </w:rPr>
        <w:t xml:space="preserve">MADDE 2 – </w:t>
      </w:r>
      <w:r w:rsidRPr="00E6790E">
        <w:rPr>
          <w:rFonts w:ascii="Times New Roman" w:hAnsi="Times New Roman" w:cs="Times New Roman"/>
          <w:sz w:val="20"/>
          <w:szCs w:val="20"/>
        </w:rPr>
        <w:t xml:space="preserve">Aynı Yönetmeliğin 4 üncü maddesinin birinci fıkrasının üçüncü cümlesinde yer alan “belirleyerek” ibaresi “ve uygulanacak münavebe dönem ve esaslarını” olarak değiştirilmiş, üçüncü fıkrasının sonuna aşağıdaki cümle eklenmiş ve </w:t>
      </w:r>
      <w:proofErr w:type="spellStart"/>
      <w:r w:rsidRPr="00E6790E">
        <w:rPr>
          <w:rFonts w:ascii="Times New Roman" w:hAnsi="Times New Roman" w:cs="Times New Roman"/>
          <w:sz w:val="20"/>
          <w:szCs w:val="20"/>
        </w:rPr>
        <w:t>onbirinci</w:t>
      </w:r>
      <w:proofErr w:type="spellEnd"/>
      <w:r w:rsidRPr="00E6790E">
        <w:rPr>
          <w:rFonts w:ascii="Times New Roman" w:hAnsi="Times New Roman" w:cs="Times New Roman"/>
          <w:sz w:val="20"/>
          <w:szCs w:val="20"/>
        </w:rPr>
        <w:t xml:space="preserve"> fıkrasının birinci cümlesi aşağıdaki şekilde değiştirilmiş ve aynı fıkraya birinci cümleden sonra gelmek üzere aşağıdaki cümle eklenmiştir.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“Şirketler veya fabrikalar, A ve B kotası pancar dışındaki C pancarını Kurul kararı ile belirlenmiş kendi ekim alanlarından temin etmek üzere sözleşmeli olarak ürettirebilirler.”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 xml:space="preserve">“Şirketler veya fabrikalar, şeker üretimi için kendi ekim alanlarında yeterli hammadde bulamadıkları takdirde münavebe esasları </w:t>
      </w:r>
      <w:proofErr w:type="gramStart"/>
      <w:r w:rsidRPr="00E6790E">
        <w:rPr>
          <w:rFonts w:ascii="Times New Roman" w:hAnsi="Times New Roman" w:cs="Times New Roman"/>
          <w:sz w:val="20"/>
          <w:szCs w:val="20"/>
        </w:rPr>
        <w:t>dahilinde</w:t>
      </w:r>
      <w:proofErr w:type="gramEnd"/>
      <w:r w:rsidRPr="00E6790E">
        <w:rPr>
          <w:rFonts w:ascii="Times New Roman" w:hAnsi="Times New Roman" w:cs="Times New Roman"/>
          <w:sz w:val="20"/>
          <w:szCs w:val="20"/>
        </w:rPr>
        <w:t xml:space="preserve"> kendi ekim alanları dışından da Kurumun izni ve denetiminde üreticilerle sözleşme yaparak pancar temin edebilirler.”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 xml:space="preserve">“Şirketlerin ekim alanı devri, yeni ekim alanı tahsisi ve ekim alanı dışı pancar temin etme talepleri Kurul tarafından belirlenen usul ve esaslar </w:t>
      </w:r>
      <w:proofErr w:type="gramStart"/>
      <w:r w:rsidRPr="00E6790E">
        <w:rPr>
          <w:rFonts w:ascii="Times New Roman" w:hAnsi="Times New Roman" w:cs="Times New Roman"/>
          <w:sz w:val="20"/>
          <w:szCs w:val="20"/>
        </w:rPr>
        <w:t>dahilinde</w:t>
      </w:r>
      <w:proofErr w:type="gramEnd"/>
      <w:r w:rsidRPr="00E6790E">
        <w:rPr>
          <w:rFonts w:ascii="Times New Roman" w:hAnsi="Times New Roman" w:cs="Times New Roman"/>
          <w:sz w:val="20"/>
          <w:szCs w:val="20"/>
        </w:rPr>
        <w:t xml:space="preserve"> değerlendirilir.”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Style w:val="Gl"/>
          <w:rFonts w:ascii="Times New Roman" w:hAnsi="Times New Roman" w:cs="Times New Roman"/>
          <w:sz w:val="20"/>
          <w:szCs w:val="20"/>
        </w:rPr>
        <w:t>MADDE 3 –</w:t>
      </w:r>
      <w:r w:rsidRPr="00E6790E">
        <w:rPr>
          <w:rFonts w:ascii="Times New Roman" w:hAnsi="Times New Roman" w:cs="Times New Roman"/>
          <w:sz w:val="20"/>
          <w:szCs w:val="20"/>
        </w:rPr>
        <w:t xml:space="preserve"> Aynı Yönetmeliğin 5 inci maddesinin yedinci fıkrasının dördüncü cümlesinde yer alan “yazılı olarak” ibaresi “Kurumca talep edilen usul ve şekilde” olarak değiştirilmiş ve aynı fıkranın sonuna aşağıdaki cümle eklenmiştir.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“Ancak pancar dışı hammadde temin ve sarfında “Eşdeğer Eşya” kullanımına ilişkin uygulamalar gümrük mevzuatı çerçevesinde değerlendirilir.”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Style w:val="Gl"/>
          <w:rFonts w:ascii="Times New Roman" w:hAnsi="Times New Roman" w:cs="Times New Roman"/>
          <w:sz w:val="20"/>
          <w:szCs w:val="20"/>
        </w:rPr>
        <w:t xml:space="preserve">MADDE 4 – </w:t>
      </w:r>
      <w:r w:rsidRPr="00E6790E">
        <w:rPr>
          <w:rFonts w:ascii="Times New Roman" w:hAnsi="Times New Roman" w:cs="Times New Roman"/>
          <w:sz w:val="20"/>
          <w:szCs w:val="20"/>
        </w:rPr>
        <w:t xml:space="preserve">Aynı Yönetmeliğin 6 </w:t>
      </w:r>
      <w:proofErr w:type="spellStart"/>
      <w:r w:rsidRPr="00E6790E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E6790E">
        <w:rPr>
          <w:rFonts w:ascii="Times New Roman" w:hAnsi="Times New Roman" w:cs="Times New Roman"/>
          <w:sz w:val="20"/>
          <w:szCs w:val="20"/>
        </w:rPr>
        <w:t xml:space="preserve"> maddesinin üçüncü fıkrasında yer alan “yazılı olarak” ibaresi “talep edilen usul ve şekilde” olarak değiştirilmiştir.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Style w:val="Gl"/>
          <w:rFonts w:ascii="Times New Roman" w:hAnsi="Times New Roman" w:cs="Times New Roman"/>
          <w:sz w:val="20"/>
          <w:szCs w:val="20"/>
        </w:rPr>
        <w:t>MADDE 5 –</w:t>
      </w:r>
      <w:r w:rsidRPr="00E6790E">
        <w:rPr>
          <w:rFonts w:ascii="Times New Roman" w:hAnsi="Times New Roman" w:cs="Times New Roman"/>
          <w:sz w:val="20"/>
          <w:szCs w:val="20"/>
        </w:rPr>
        <w:t xml:space="preserve"> Aynı Yönetmeliğin 7 </w:t>
      </w:r>
      <w:proofErr w:type="spellStart"/>
      <w:r w:rsidRPr="00E6790E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E6790E">
        <w:rPr>
          <w:rFonts w:ascii="Times New Roman" w:hAnsi="Times New Roman" w:cs="Times New Roman"/>
          <w:sz w:val="20"/>
          <w:szCs w:val="20"/>
        </w:rPr>
        <w:t xml:space="preserve"> maddesinde geçen “Müsteşarlığa’’ ibareleri “Ekonomi Bakanlığına’’ olarak değiştirilmiştir.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Style w:val="Gl"/>
          <w:rFonts w:ascii="Times New Roman" w:hAnsi="Times New Roman" w:cs="Times New Roman"/>
          <w:sz w:val="20"/>
          <w:szCs w:val="20"/>
        </w:rPr>
        <w:t xml:space="preserve">MADDE 6 – </w:t>
      </w:r>
      <w:r w:rsidRPr="00E6790E">
        <w:rPr>
          <w:rFonts w:ascii="Times New Roman" w:hAnsi="Times New Roman" w:cs="Times New Roman"/>
          <w:sz w:val="20"/>
          <w:szCs w:val="20"/>
        </w:rPr>
        <w:t>Aynı Yönetmeliğin 9 uncu maddesi aşağıdaki şekilde değiştirilmiştir.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“</w:t>
      </w:r>
      <w:r w:rsidRPr="00E6790E">
        <w:rPr>
          <w:rStyle w:val="Gl"/>
          <w:rFonts w:ascii="Times New Roman" w:hAnsi="Times New Roman" w:cs="Times New Roman"/>
          <w:sz w:val="20"/>
          <w:szCs w:val="20"/>
        </w:rPr>
        <w:t>MADDE 9 –</w:t>
      </w:r>
      <w:r w:rsidRPr="00E6790E">
        <w:rPr>
          <w:rFonts w:ascii="Times New Roman" w:hAnsi="Times New Roman" w:cs="Times New Roman"/>
          <w:sz w:val="20"/>
          <w:szCs w:val="20"/>
        </w:rPr>
        <w:t xml:space="preserve"> Kurum, şirket ve bünyesindeki fabrikalarda görevleri ile ilgili konularda araştırma ve denetimde bulunabilir.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> </w:t>
      </w:r>
    </w:p>
    <w:p w:rsid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6790E">
        <w:rPr>
          <w:rFonts w:ascii="Times New Roman" w:hAnsi="Times New Roman" w:cs="Times New Roman"/>
          <w:sz w:val="20"/>
          <w:szCs w:val="20"/>
        </w:rPr>
        <w:t xml:space="preserve">Kurum, şirket ve bünyesindeki fabrikalar nezdinde; hammadde üretimi, temini, fiyatlandırma, fire tespiti, bedel ödemeleri ve bedel ödemelerine esas parametrelere ilişkin hususlarda denetim ve gözlemde bulunabilir. Bu iş ve </w:t>
      </w:r>
      <w:r w:rsidRPr="00E6790E">
        <w:rPr>
          <w:rFonts w:ascii="Times New Roman" w:hAnsi="Times New Roman" w:cs="Times New Roman"/>
          <w:sz w:val="20"/>
          <w:szCs w:val="20"/>
        </w:rPr>
        <w:lastRenderedPageBreak/>
        <w:t xml:space="preserve">işlemlerle ilgili olarak teknolojik </w:t>
      </w:r>
      <w:proofErr w:type="gramStart"/>
      <w:r w:rsidRPr="00E6790E">
        <w:rPr>
          <w:rFonts w:ascii="Times New Roman" w:hAnsi="Times New Roman" w:cs="Times New Roman"/>
          <w:sz w:val="20"/>
          <w:szCs w:val="20"/>
        </w:rPr>
        <w:t>imkanlardan</w:t>
      </w:r>
      <w:proofErr w:type="gramEnd"/>
      <w:r w:rsidRPr="00E6790E">
        <w:rPr>
          <w:rFonts w:ascii="Times New Roman" w:hAnsi="Times New Roman" w:cs="Times New Roman"/>
          <w:sz w:val="20"/>
          <w:szCs w:val="20"/>
        </w:rPr>
        <w:t xml:space="preserve"> yararlanabilir. Bu amaçlarla gerektiğinde şirketler ile ilgili kurum, kuruluş ve kişilerden yararlanabilir.”</w:t>
      </w:r>
    </w:p>
    <w:p w:rsidR="00E6790E" w:rsidRPr="00E6790E" w:rsidRDefault="00E6790E" w:rsidP="00E6790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6790E" w:rsidRDefault="00E6790E" w:rsidP="00E6790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E6790E">
        <w:rPr>
          <w:rStyle w:val="Gl"/>
          <w:sz w:val="20"/>
          <w:szCs w:val="20"/>
        </w:rPr>
        <w:t xml:space="preserve">MADDE 7 – </w:t>
      </w:r>
      <w:r w:rsidRPr="00E6790E">
        <w:rPr>
          <w:sz w:val="20"/>
          <w:szCs w:val="20"/>
        </w:rPr>
        <w:t>Bu Yönetmelik yayımı tarihinde yürürlüğe girer.</w:t>
      </w:r>
    </w:p>
    <w:p w:rsidR="00E6790E" w:rsidRPr="00E6790E" w:rsidRDefault="00E6790E" w:rsidP="00E6790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E6790E" w:rsidRPr="00E6790E" w:rsidRDefault="00E6790E" w:rsidP="00E6790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E6790E">
        <w:rPr>
          <w:rStyle w:val="Gl"/>
          <w:sz w:val="20"/>
          <w:szCs w:val="20"/>
        </w:rPr>
        <w:t xml:space="preserve">MADDE 8 – </w:t>
      </w:r>
      <w:r w:rsidRPr="00E6790E">
        <w:rPr>
          <w:sz w:val="20"/>
          <w:szCs w:val="20"/>
        </w:rPr>
        <w:t>Bu Yönetmelik hükümlerini Şeker Kurumu Başkanı yürütür.</w:t>
      </w:r>
    </w:p>
    <w:p w:rsidR="00E6790E" w:rsidRPr="00E6790E" w:rsidRDefault="00E6790E" w:rsidP="00E6790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6790E" w:rsidRPr="00E6790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7F2" w:rsidRDefault="004437F2" w:rsidP="00405B55">
      <w:pPr>
        <w:spacing w:after="0" w:line="240" w:lineRule="auto"/>
      </w:pPr>
      <w:r>
        <w:separator/>
      </w:r>
    </w:p>
  </w:endnote>
  <w:endnote w:type="continuationSeparator" w:id="0">
    <w:p w:rsidR="004437F2" w:rsidRDefault="004437F2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6A348E">
        <w:pPr>
          <w:pStyle w:val="Altbilgi"/>
          <w:jc w:val="center"/>
        </w:pPr>
        <w:fldSimple w:instr=" PAGE   \* MERGEFORMAT ">
          <w:r w:rsidR="00A42566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7F2" w:rsidRDefault="004437F2" w:rsidP="00405B55">
      <w:pPr>
        <w:spacing w:after="0" w:line="240" w:lineRule="auto"/>
      </w:pPr>
      <w:r>
        <w:separator/>
      </w:r>
    </w:p>
  </w:footnote>
  <w:footnote w:type="continuationSeparator" w:id="0">
    <w:p w:rsidR="004437F2" w:rsidRDefault="004437F2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24E0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759A2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0F7854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17D8A"/>
    <w:rsid w:val="00317E90"/>
    <w:rsid w:val="00323372"/>
    <w:rsid w:val="00337C5F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0C5D"/>
    <w:rsid w:val="00432B0B"/>
    <w:rsid w:val="00436ABA"/>
    <w:rsid w:val="004437F2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A348E"/>
    <w:rsid w:val="006B0681"/>
    <w:rsid w:val="006B2CEF"/>
    <w:rsid w:val="006C4939"/>
    <w:rsid w:val="006C75B3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1AE4"/>
    <w:rsid w:val="007B433E"/>
    <w:rsid w:val="007B6006"/>
    <w:rsid w:val="007B7523"/>
    <w:rsid w:val="007C5D0B"/>
    <w:rsid w:val="007E51B7"/>
    <w:rsid w:val="007E7E70"/>
    <w:rsid w:val="007F49FB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B3B79"/>
    <w:rsid w:val="008C30A2"/>
    <w:rsid w:val="008C5F26"/>
    <w:rsid w:val="008C70DA"/>
    <w:rsid w:val="008C7794"/>
    <w:rsid w:val="008D1728"/>
    <w:rsid w:val="008D61B9"/>
    <w:rsid w:val="008E6F06"/>
    <w:rsid w:val="008F5E2B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774A7"/>
    <w:rsid w:val="00996D2A"/>
    <w:rsid w:val="00997DD7"/>
    <w:rsid w:val="009A0147"/>
    <w:rsid w:val="009A01BE"/>
    <w:rsid w:val="009A1FB5"/>
    <w:rsid w:val="009A239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42566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11BFA"/>
    <w:rsid w:val="00C22D81"/>
    <w:rsid w:val="00C23B86"/>
    <w:rsid w:val="00C25A1D"/>
    <w:rsid w:val="00C305CC"/>
    <w:rsid w:val="00C32D12"/>
    <w:rsid w:val="00C32E46"/>
    <w:rsid w:val="00C35697"/>
    <w:rsid w:val="00C3688A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6790E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EE69C1"/>
    <w:rsid w:val="00EF508F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459</Words>
  <Characters>2622</Characters>
  <Application>Microsoft Office Word</Application>
  <DocSecurity>0</DocSecurity>
  <Lines>21</Lines>
  <Paragraphs>6</Paragraphs>
  <ScaleCrop>false</ScaleCrop>
  <Company>TURMOB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345</cp:revision>
  <cp:lastPrinted>2013-01-07T06:33:00Z</cp:lastPrinted>
  <dcterms:created xsi:type="dcterms:W3CDTF">2013-01-02T06:53:00Z</dcterms:created>
  <dcterms:modified xsi:type="dcterms:W3CDTF">2013-05-22T05:28:00Z</dcterms:modified>
</cp:coreProperties>
</file>