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90DD5" w:rsidRDefault="003728F8"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53EE2" w:rsidRPr="00090DD5">
        <w:rPr>
          <w:rFonts w:ascii="Times New Roman" w:hAnsi="Times New Roman" w:cs="Times New Roman"/>
          <w:b/>
          <w:sz w:val="20"/>
          <w:szCs w:val="20"/>
          <w:u w:val="single"/>
        </w:rPr>
        <w:t xml:space="preserve"> Mayıs</w:t>
      </w:r>
      <w:r w:rsidR="0049683C" w:rsidRPr="00090DD5">
        <w:rPr>
          <w:rFonts w:ascii="Times New Roman" w:hAnsi="Times New Roman" w:cs="Times New Roman"/>
          <w:b/>
          <w:sz w:val="20"/>
          <w:szCs w:val="20"/>
          <w:u w:val="single"/>
        </w:rPr>
        <w:t xml:space="preserve"> 2013,</w:t>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0A6B30">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 xml:space="preserve">   </w:t>
      </w:r>
      <w:r w:rsidR="004516C8" w:rsidRPr="00090DD5">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28663</w:t>
      </w:r>
      <w:proofErr w:type="gramEnd"/>
    </w:p>
    <w:p w:rsidR="00E56B9B" w:rsidRPr="00090DD5" w:rsidRDefault="00E56B9B"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3178D2" w:rsidRPr="00090DD5" w:rsidRDefault="003178D2"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p w:rsidR="00090DD5" w:rsidRDefault="00090DD5" w:rsidP="00E56B9B">
      <w:pPr>
        <w:tabs>
          <w:tab w:val="left" w:pos="566"/>
        </w:tabs>
        <w:spacing w:after="0" w:line="240" w:lineRule="exact"/>
        <w:ind w:firstLine="566"/>
        <w:rPr>
          <w:rFonts w:ascii="Times New Roman" w:hAnsi="Times New Roman" w:cs="Times New Roman"/>
          <w:b/>
          <w:sz w:val="20"/>
          <w:szCs w:val="20"/>
        </w:rPr>
      </w:pPr>
    </w:p>
    <w:p w:rsidR="003728F8" w:rsidRDefault="003728F8" w:rsidP="003728F8">
      <w:pPr>
        <w:pStyle w:val="1-Baslk"/>
        <w:spacing w:line="240" w:lineRule="exact"/>
        <w:rPr>
          <w:rFonts w:hAnsi="Times New Roman"/>
          <w:sz w:val="18"/>
          <w:szCs w:val="18"/>
        </w:rPr>
      </w:pPr>
      <w:r>
        <w:rPr>
          <w:rFonts w:hAnsi="Times New Roman"/>
          <w:sz w:val="18"/>
          <w:szCs w:val="18"/>
        </w:rPr>
        <w:t>Sivil Havacılık Genel Müdürlüğünden:</w:t>
      </w:r>
    </w:p>
    <w:p w:rsidR="003728F8" w:rsidRDefault="003728F8" w:rsidP="003728F8">
      <w:pPr>
        <w:pStyle w:val="1-Baslk"/>
        <w:spacing w:line="240" w:lineRule="exact"/>
        <w:rPr>
          <w:rFonts w:hAnsi="Times New Roman"/>
          <w:sz w:val="18"/>
          <w:szCs w:val="18"/>
        </w:rPr>
      </w:pPr>
    </w:p>
    <w:p w:rsidR="003728F8" w:rsidRDefault="003728F8" w:rsidP="003728F8">
      <w:pPr>
        <w:pStyle w:val="2-OrtaBaslk"/>
        <w:spacing w:line="240" w:lineRule="exact"/>
        <w:rPr>
          <w:rFonts w:hAnsi="Times New Roman"/>
          <w:sz w:val="18"/>
          <w:szCs w:val="18"/>
        </w:rPr>
      </w:pPr>
      <w:r>
        <w:rPr>
          <w:rFonts w:hAnsi="Times New Roman"/>
          <w:sz w:val="18"/>
          <w:szCs w:val="18"/>
        </w:rPr>
        <w:t xml:space="preserve">SİVİL HAVA ULAŞIMINA AÇIK HAVAALANLARINDA YER ALAN </w:t>
      </w:r>
      <w:proofErr w:type="gramStart"/>
      <w:r>
        <w:rPr>
          <w:rFonts w:hAnsi="Times New Roman"/>
          <w:sz w:val="18"/>
          <w:szCs w:val="18"/>
        </w:rPr>
        <w:t>GAYRİSIHHİ</w:t>
      </w:r>
      <w:proofErr w:type="gramEnd"/>
    </w:p>
    <w:p w:rsidR="003728F8" w:rsidRDefault="003728F8" w:rsidP="003728F8">
      <w:pPr>
        <w:pStyle w:val="2-OrtaBaslk"/>
        <w:spacing w:line="240" w:lineRule="exact"/>
        <w:rPr>
          <w:rFonts w:hAnsi="Times New Roman"/>
          <w:sz w:val="18"/>
          <w:szCs w:val="18"/>
        </w:rPr>
      </w:pPr>
      <w:r>
        <w:rPr>
          <w:rFonts w:hAnsi="Times New Roman"/>
          <w:sz w:val="18"/>
          <w:szCs w:val="18"/>
        </w:rPr>
        <w:t>İŞYERLERİ İÇİN İŞYERİ AÇMA VE ÇALIŞMA RUHSATLARINA İLİŞKİN</w:t>
      </w:r>
    </w:p>
    <w:p w:rsidR="003728F8" w:rsidRDefault="003728F8" w:rsidP="003728F8">
      <w:pPr>
        <w:pStyle w:val="2-OrtaBaslk"/>
        <w:spacing w:line="240" w:lineRule="exact"/>
        <w:rPr>
          <w:rFonts w:hAnsi="Times New Roman"/>
          <w:sz w:val="18"/>
          <w:szCs w:val="18"/>
        </w:rPr>
      </w:pPr>
      <w:r>
        <w:rPr>
          <w:rFonts w:hAnsi="Times New Roman"/>
          <w:sz w:val="18"/>
          <w:szCs w:val="18"/>
        </w:rPr>
        <w:t>YÖNETMELİK (SHY-33A)’TE DEĞİŞİKLİK YAPILMASINA</w:t>
      </w:r>
    </w:p>
    <w:p w:rsidR="003728F8" w:rsidRDefault="003728F8" w:rsidP="003728F8">
      <w:pPr>
        <w:pStyle w:val="2-OrtaBaslk"/>
        <w:spacing w:line="240" w:lineRule="exact"/>
        <w:rPr>
          <w:rFonts w:hAnsi="Times New Roman"/>
          <w:sz w:val="18"/>
          <w:szCs w:val="18"/>
        </w:rPr>
      </w:pPr>
      <w:r>
        <w:rPr>
          <w:rFonts w:hAnsi="Times New Roman"/>
          <w:sz w:val="18"/>
          <w:szCs w:val="18"/>
        </w:rPr>
        <w:t>DAİR YÖNETMELİK</w:t>
      </w:r>
    </w:p>
    <w:p w:rsidR="003728F8" w:rsidRDefault="003728F8" w:rsidP="003728F8">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5/4/2008</w:t>
      </w:r>
      <w:proofErr w:type="gramEnd"/>
      <w:r>
        <w:rPr>
          <w:rFonts w:hAnsi="Times New Roman"/>
          <w:sz w:val="18"/>
          <w:szCs w:val="18"/>
        </w:rPr>
        <w:t xml:space="preserve"> tarihli ve 26838 sayılı Resmî Gazete’de yayımlanan Sivil Hava Ulaşımına Açık Havaalanlarında Yer Alan Gayrisıhhi İşyerleri İçin İşyeri Açma ve Çalışma Ruhsatlarına İlişkin Yönetmelik (SHY-33A)’in 12 </w:t>
      </w:r>
      <w:proofErr w:type="spellStart"/>
      <w:r>
        <w:rPr>
          <w:rFonts w:hAnsi="Times New Roman"/>
          <w:sz w:val="18"/>
          <w:szCs w:val="18"/>
        </w:rPr>
        <w:t>nci</w:t>
      </w:r>
      <w:proofErr w:type="spellEnd"/>
      <w:r>
        <w:rPr>
          <w:rFonts w:hAnsi="Times New Roman"/>
          <w:sz w:val="18"/>
          <w:szCs w:val="18"/>
        </w:rPr>
        <w:t xml:space="preserve"> maddesinin altıncı fıkrasından sonra gelmek üzere aşağıdaki fıkra eklenmiş, mevcut yedinci fıkra sekizinci fıkra olarak teselsül ettirilmiştir.</w:t>
      </w:r>
    </w:p>
    <w:p w:rsidR="003728F8" w:rsidRDefault="003728F8" w:rsidP="003728F8">
      <w:pPr>
        <w:pStyle w:val="3-NormalYaz"/>
        <w:spacing w:line="240" w:lineRule="exact"/>
        <w:ind w:firstLine="566"/>
        <w:rPr>
          <w:rFonts w:hAnsi="Times New Roman"/>
          <w:sz w:val="18"/>
          <w:szCs w:val="18"/>
        </w:rPr>
      </w:pPr>
      <w:r>
        <w:rPr>
          <w:rFonts w:hAnsi="Times New Roman"/>
          <w:sz w:val="18"/>
          <w:szCs w:val="18"/>
        </w:rPr>
        <w:t>“(7) Havaalanlarında akaryakıt kuruluşlarının başvurularında havaalanı işletmecisi tarafından mevcut havaalanı kapasitesine bağlı olarak tesislerin gerekli emniyet mesafeleri, hava tarafından araç trafiğinin azaltılması, uçuş, can ve mal emniyetinin sağlanması ve kullanıcıların akaryakıt ihtiyacının belirlenmesi ve bu konuda rekabet hususlarını da içerecek şekilde taleplere cevap verecek gerekli düzenlemelerin yapılması gerekmektedir.”</w:t>
      </w:r>
    </w:p>
    <w:p w:rsidR="003728F8" w:rsidRDefault="003728F8" w:rsidP="003728F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15 inci maddesine aşağıdaki fıkralar eklenmiştir.</w:t>
      </w:r>
    </w:p>
    <w:p w:rsidR="003728F8" w:rsidRDefault="003728F8" w:rsidP="003728F8">
      <w:pPr>
        <w:pStyle w:val="3-NormalYaz"/>
        <w:spacing w:line="240" w:lineRule="exact"/>
        <w:ind w:firstLine="566"/>
        <w:rPr>
          <w:rFonts w:hAnsi="Times New Roman"/>
          <w:sz w:val="18"/>
          <w:szCs w:val="18"/>
        </w:rPr>
      </w:pPr>
      <w:r>
        <w:rPr>
          <w:rFonts w:hAnsi="Times New Roman"/>
          <w:sz w:val="18"/>
          <w:szCs w:val="18"/>
        </w:rPr>
        <w:t xml:space="preserve">“(3) Onaylı Bakım Kuruluşları Yönetmeliği (SHY145-01)’ne göre hava aracına ve/veya </w:t>
      </w:r>
      <w:proofErr w:type="spellStart"/>
      <w:r>
        <w:rPr>
          <w:rFonts w:hAnsi="Times New Roman"/>
          <w:sz w:val="18"/>
          <w:szCs w:val="18"/>
        </w:rPr>
        <w:t>komponentine</w:t>
      </w:r>
      <w:proofErr w:type="spellEnd"/>
      <w:r>
        <w:rPr>
          <w:rFonts w:hAnsi="Times New Roman"/>
          <w:sz w:val="18"/>
          <w:szCs w:val="18"/>
        </w:rPr>
        <w:t xml:space="preserve"> bakım yapmak için üs bakım yetkisi almış olan kuruluşların, hat bakım hizmeti için ayrıca ruhsat almaları zorunlu değildir. Ancak, hava aracı hat bakım hizmetinden üs bakım hizmetine geçmiş olan kuruluşların altı ay içerisinde üs bakım hizmet alanı için bu Yönetmelik kapsamında ruhsat alması zorunlu olup; bir önceki ruhsat bedeli ile yeni ruhsat bedeli arasındaki fark ruhsat değeri olarak esas alınır.</w:t>
      </w:r>
    </w:p>
    <w:p w:rsidR="003728F8" w:rsidRDefault="003728F8" w:rsidP="003728F8">
      <w:pPr>
        <w:pStyle w:val="3-NormalYaz"/>
        <w:spacing w:line="240" w:lineRule="exact"/>
        <w:ind w:firstLine="566"/>
        <w:rPr>
          <w:rFonts w:hAnsi="Times New Roman"/>
          <w:sz w:val="18"/>
          <w:szCs w:val="18"/>
        </w:rPr>
      </w:pPr>
      <w:r>
        <w:rPr>
          <w:rFonts w:hAnsi="Times New Roman"/>
          <w:sz w:val="18"/>
          <w:szCs w:val="18"/>
        </w:rPr>
        <w:t xml:space="preserve">(4) </w:t>
      </w:r>
      <w:proofErr w:type="gramStart"/>
      <w:r>
        <w:rPr>
          <w:rFonts w:hAnsi="Times New Roman"/>
          <w:sz w:val="18"/>
          <w:szCs w:val="18"/>
        </w:rPr>
        <w:t>Gayrisıhhi</w:t>
      </w:r>
      <w:proofErr w:type="gramEnd"/>
      <w:r>
        <w:rPr>
          <w:rFonts w:hAnsi="Times New Roman"/>
          <w:sz w:val="18"/>
          <w:szCs w:val="18"/>
        </w:rPr>
        <w:t xml:space="preserve"> işyeri açma ve çalışma ruhsatı başvurusunda bulunacak ve hava aracı için boyama, etiketleme ve benzeri nitelikte faaliyet gösterecek kuruluşlar için; Onaylı Bakım Kuruluşları Yönetmeliği (SHY145-01)’</w:t>
      </w:r>
      <w:proofErr w:type="spellStart"/>
      <w:r>
        <w:rPr>
          <w:rFonts w:hAnsi="Times New Roman"/>
          <w:sz w:val="18"/>
          <w:szCs w:val="18"/>
        </w:rPr>
        <w:t>nin</w:t>
      </w:r>
      <w:proofErr w:type="spellEnd"/>
      <w:r>
        <w:rPr>
          <w:rFonts w:hAnsi="Times New Roman"/>
          <w:sz w:val="18"/>
          <w:szCs w:val="18"/>
        </w:rPr>
        <w:t xml:space="preserve"> 25 inci maddesine göre, bakım onarım kuruluşlarının ihtiyacı doğrultusunda dışarıdan sağlanacak olan hizmetler kapsamında en az 2 bakım kuruluşunun el kitabında söz konusu hizmet/hizmetlerin verileceğine ilişkin anlaşma bilgilerinin yer alması gerekmektedir. Bu anlaşma bilgileri ile birlikte, boyama, etiketleme ve benzeri nitelikte faaliyet gösterecek kuruluşun, hava tarafında faaliyet göstermesine ihtiyaç duyulduğu yönünde, hava aracı bakım ve onarım kuruluşlarının sorumlu müdürlerinden alınacak belgelerin de havaalanı işletmecisi tarafından </w:t>
      </w:r>
      <w:proofErr w:type="spellStart"/>
      <w:r>
        <w:rPr>
          <w:rFonts w:hAnsi="Times New Roman"/>
          <w:sz w:val="18"/>
          <w:szCs w:val="18"/>
        </w:rPr>
        <w:t>SHGM'ye</w:t>
      </w:r>
      <w:proofErr w:type="spellEnd"/>
      <w:r>
        <w:rPr>
          <w:rFonts w:hAnsi="Times New Roman"/>
          <w:sz w:val="18"/>
          <w:szCs w:val="18"/>
        </w:rPr>
        <w:t xml:space="preserve"> sunulması zorunludur.”</w:t>
      </w:r>
    </w:p>
    <w:p w:rsidR="003728F8" w:rsidRDefault="003728F8" w:rsidP="003728F8">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21 inci maddesinin ikinci ve üçüncü fıkraları aşağıdaki şekilde değiştirilmiştir.</w:t>
      </w:r>
    </w:p>
    <w:p w:rsidR="003728F8" w:rsidRDefault="003728F8" w:rsidP="003728F8">
      <w:pPr>
        <w:pStyle w:val="3-NormalYaz"/>
        <w:spacing w:line="240" w:lineRule="exact"/>
        <w:ind w:firstLine="566"/>
        <w:rPr>
          <w:rFonts w:hAnsi="Times New Roman"/>
          <w:sz w:val="18"/>
          <w:szCs w:val="18"/>
        </w:rPr>
      </w:pPr>
      <w:r>
        <w:rPr>
          <w:rFonts w:hAnsi="Times New Roman"/>
          <w:sz w:val="18"/>
          <w:szCs w:val="18"/>
        </w:rPr>
        <w:t>“(2) İşyerinin faaliyet gösterdiği adresin, işletmenin faaliyet gösterdiği alanının, işyeri sahibinin ya da işyerinin işleticisinin değişmesi halinde yeniden ruhsatlandırılması esastır. Yeni ruhsat düzenlenen veya düzenlenecek olan işletme faaliyetine başlayana kadar, eski ruhsat sahibi 6 ay içerisinde, hukuki zorunluluklar dışında hizmette aksaklık yaşanmaması amacıyla hizmetine devam edebilir. İşyerinin faaliyet gösterdiği mahal kodunda ve/veya mevcut işyerinin ticari unvanında değişikliğe gidilmesi durumunda SHGM hizmet tarifesinde belirtilen indirimli ruhsat ücreti esas alınır.</w:t>
      </w:r>
    </w:p>
    <w:p w:rsidR="003728F8" w:rsidRDefault="003728F8" w:rsidP="003728F8">
      <w:pPr>
        <w:pStyle w:val="3-NormalYaz"/>
        <w:spacing w:line="240" w:lineRule="exact"/>
        <w:ind w:firstLine="566"/>
        <w:rPr>
          <w:rFonts w:hAnsi="Times New Roman"/>
          <w:sz w:val="18"/>
          <w:szCs w:val="18"/>
        </w:rPr>
      </w:pPr>
      <w:r>
        <w:rPr>
          <w:rFonts w:hAnsi="Times New Roman"/>
          <w:sz w:val="18"/>
          <w:szCs w:val="18"/>
        </w:rPr>
        <w:t xml:space="preserve">(3) Ruhsatın yenilenmesini gerektiren hallerde, en geç üç ay içinde havaalanı işletmecisine müracaat edilmesi zorunludur. Süresi içinde müracaat yapılmadığının havaalanı işletmecisince tespiti durumunda tespit tarihinden itibaren ilgilisine on beş günlük süre verilir. Bu süre sonuna kadar gerekli ruhsat yenileme başvurusu yapılmadığı takdirde havaalanı işletmecisi ruhsatın iptal edilmesi için </w:t>
      </w:r>
      <w:proofErr w:type="spellStart"/>
      <w:r>
        <w:rPr>
          <w:rFonts w:hAnsi="Times New Roman"/>
          <w:sz w:val="18"/>
          <w:szCs w:val="18"/>
        </w:rPr>
        <w:t>SHGM’ye</w:t>
      </w:r>
      <w:proofErr w:type="spellEnd"/>
      <w:r>
        <w:rPr>
          <w:rFonts w:hAnsi="Times New Roman"/>
          <w:sz w:val="18"/>
          <w:szCs w:val="18"/>
        </w:rPr>
        <w:t xml:space="preserve"> bildirimde bulunur ve SHGM tarafından gerekli incelemeleri müteakip ruhsat iptal edilir.”</w:t>
      </w:r>
    </w:p>
    <w:p w:rsidR="003728F8" w:rsidRDefault="003728F8" w:rsidP="003728F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Bu Yönetmelik yayımı tarihinde yürürlüğe girer.</w:t>
      </w:r>
    </w:p>
    <w:p w:rsidR="003728F8" w:rsidRDefault="003728F8" w:rsidP="003728F8">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Bu Yönetmelik hükümlerini Sivil Havacılık Genel Müdürü yürütür.</w:t>
      </w:r>
    </w:p>
    <w:p w:rsidR="003728F8" w:rsidRDefault="003728F8" w:rsidP="00E56B9B">
      <w:pPr>
        <w:tabs>
          <w:tab w:val="left" w:pos="566"/>
        </w:tabs>
        <w:spacing w:after="0" w:line="240" w:lineRule="exact"/>
        <w:ind w:firstLine="566"/>
        <w:rPr>
          <w:rFonts w:ascii="Times New Roman" w:hAnsi="Times New Roman" w:cs="Times New Roman"/>
          <w:b/>
          <w:sz w:val="20"/>
          <w:szCs w:val="20"/>
        </w:rPr>
      </w:pPr>
    </w:p>
    <w:sectPr w:rsidR="003728F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837" w:rsidRDefault="009A7837" w:rsidP="00405B55">
      <w:pPr>
        <w:spacing w:after="0" w:line="240" w:lineRule="auto"/>
      </w:pPr>
      <w:r>
        <w:separator/>
      </w:r>
    </w:p>
  </w:endnote>
  <w:endnote w:type="continuationSeparator" w:id="0">
    <w:p w:rsidR="009A7837" w:rsidRDefault="009A7837"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444A78">
        <w:pPr>
          <w:pStyle w:val="Altbilgi"/>
          <w:jc w:val="center"/>
        </w:pPr>
        <w:fldSimple w:instr=" PAGE   \* MERGEFORMAT ">
          <w:r w:rsidR="003728F8">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837" w:rsidRDefault="009A7837" w:rsidP="00405B55">
      <w:pPr>
        <w:spacing w:after="0" w:line="240" w:lineRule="auto"/>
      </w:pPr>
      <w:r>
        <w:separator/>
      </w:r>
    </w:p>
  </w:footnote>
  <w:footnote w:type="continuationSeparator" w:id="0">
    <w:p w:rsidR="009A7837" w:rsidRDefault="009A7837"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52A3"/>
    <w:rsid w:val="000679A9"/>
    <w:rsid w:val="00067DFB"/>
    <w:rsid w:val="00070398"/>
    <w:rsid w:val="000759A2"/>
    <w:rsid w:val="00085DDB"/>
    <w:rsid w:val="00090DD5"/>
    <w:rsid w:val="00092325"/>
    <w:rsid w:val="000A593B"/>
    <w:rsid w:val="000A6B30"/>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3E78"/>
    <w:rsid w:val="001C2724"/>
    <w:rsid w:val="001D6BF1"/>
    <w:rsid w:val="001F4F88"/>
    <w:rsid w:val="001F610D"/>
    <w:rsid w:val="00201E15"/>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28F8"/>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78"/>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A7837"/>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2C6B"/>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D7AEA"/>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564</Words>
  <Characters>3219</Characters>
  <Application>Microsoft Office Word</Application>
  <DocSecurity>0</DocSecurity>
  <Lines>26</Lines>
  <Paragraphs>7</Paragraphs>
  <ScaleCrop>false</ScaleCrop>
  <Company>TURMOB</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375</cp:revision>
  <cp:lastPrinted>2013-01-07T06:33:00Z</cp:lastPrinted>
  <dcterms:created xsi:type="dcterms:W3CDTF">2013-01-02T06:53:00Z</dcterms:created>
  <dcterms:modified xsi:type="dcterms:W3CDTF">2013-05-31T05:34:00Z</dcterms:modified>
</cp:coreProperties>
</file>