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51485" w:rsidRDefault="00627628" w:rsidP="00951485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951485" w:rsidRDefault="008E2DD9" w:rsidP="009514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FA30A2" w:rsidRPr="009514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28678</w:t>
      </w:r>
      <w:proofErr w:type="gramEnd"/>
    </w:p>
    <w:p w:rsidR="003F0E00" w:rsidRPr="00951485" w:rsidRDefault="003F0E00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32650" w:rsidRPr="00D32650" w:rsidRDefault="00D32650" w:rsidP="00D32650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D32650">
        <w:rPr>
          <w:b/>
          <w:sz w:val="18"/>
          <w:szCs w:val="18"/>
          <w:u w:val="none"/>
        </w:rPr>
        <w:t>Maliye Bakanl</w:t>
      </w:r>
      <w:r w:rsidRPr="00D32650">
        <w:rPr>
          <w:b/>
          <w:sz w:val="18"/>
          <w:szCs w:val="18"/>
          <w:u w:val="none"/>
        </w:rPr>
        <w:t>ığı</w:t>
      </w:r>
      <w:r w:rsidRPr="00D32650">
        <w:rPr>
          <w:b/>
          <w:sz w:val="18"/>
          <w:szCs w:val="18"/>
          <w:u w:val="none"/>
        </w:rPr>
        <w:t>ndan:</w:t>
      </w:r>
    </w:p>
    <w:p w:rsidR="00D32650" w:rsidRDefault="00D32650" w:rsidP="00D3265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USUL KANUNU GENEL TEBL</w:t>
      </w:r>
      <w:r>
        <w:rPr>
          <w:sz w:val="18"/>
          <w:szCs w:val="18"/>
        </w:rPr>
        <w:t>İĞİ</w:t>
      </w:r>
    </w:p>
    <w:p w:rsidR="00D32650" w:rsidRDefault="00D32650" w:rsidP="00D32650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(SIRA NO: 426)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Giri</w:t>
      </w:r>
      <w:r>
        <w:rPr>
          <w:b/>
          <w:sz w:val="18"/>
          <w:szCs w:val="18"/>
        </w:rPr>
        <w:t>ş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mecburiyeti ve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usul ve esaslar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konusunu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etmektedir.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2. Dayanak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kerrer 257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bendinde,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ve meslek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itibariyle muhasebe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etmeye, bu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tutulmakta olan defter ve belgeler ile bunlara ilaveten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defter ve belgelerin mahiyet,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ihtiva etmesi zorunlu bilgileri belirlemeye, bunlarda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yapmaya; bedeli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tmaya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tmaya veya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tutturmaya bu defter ve belgelere tasdik, muhafaza ve ibraz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getirmeye veya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bu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tutulacak defter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belgelerin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3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bendinde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zorunlu defter,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belgelerin mikro film, mikro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elektronik bilgi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ortamlar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hususunda izin vermeye veya zorunluluk getirmeye,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tutulacak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kopyalar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veya muhafaza etmekle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kurumlarda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getirmeye, bu konuda uygulama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  <w:proofErr w:type="gramEnd"/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bendinde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Vergi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niteliklerini belirleyip onaylad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elektrikli, elektronik, manyetik ve benzeri cihazlar ve sistemleri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bu cihaz ve sistemler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proofErr w:type="gramStart"/>
      <w:r>
        <w:rPr>
          <w:sz w:val="18"/>
          <w:szCs w:val="18"/>
        </w:rPr>
        <w:t>bandrol</w:t>
      </w:r>
      <w:proofErr w:type="gramEnd"/>
      <w:r>
        <w:rPr>
          <w:sz w:val="18"/>
          <w:szCs w:val="18"/>
        </w:rPr>
        <w:t xml:space="preserve">, pul, </w:t>
      </w:r>
      <w:proofErr w:type="spellStart"/>
      <w:r>
        <w:rPr>
          <w:sz w:val="18"/>
          <w:szCs w:val="18"/>
        </w:rPr>
        <w:t>barkod</w:t>
      </w:r>
      <w:proofErr w:type="spellEnd"/>
      <w:r>
        <w:rPr>
          <w:sz w:val="18"/>
          <w:szCs w:val="18"/>
        </w:rPr>
        <w:t>, hologram, kup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r, damga, sembol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etiket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zorunluluk getirmeye, uygulamaya ait </w:t>
      </w:r>
      <w:proofErr w:type="spellStart"/>
      <w:r>
        <w:rPr>
          <w:sz w:val="18"/>
          <w:szCs w:val="18"/>
        </w:rPr>
        <w:t>us</w:t>
      </w:r>
      <w:r>
        <w:rPr>
          <w:sz w:val="18"/>
          <w:szCs w:val="18"/>
        </w:rPr>
        <w:t>û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 xml:space="preserve">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</w:t>
      </w:r>
      <w:r>
        <w:rPr>
          <w:sz w:val="18"/>
          <w:szCs w:val="18"/>
        </w:rPr>
        <w:t>”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yetkili</w:t>
      </w:r>
      <w:proofErr w:type="gramEnd"/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(Maliye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yetkiye istinaden,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aynen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lendikten sonra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kimselere satan veya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kimselere hizmet veren birinci ve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ccarlara (perakende teslimde bulunan veya hizmet ifa eden) Vergi Usul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fatura vermek zorunda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hizmet ifalar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belgelendirilmesinde (</w:t>
      </w:r>
      <w:proofErr w:type="gramStart"/>
      <w:r>
        <w:rPr>
          <w:sz w:val="18"/>
          <w:szCs w:val="18"/>
        </w:rPr>
        <w:t>6/12/1984</w:t>
      </w:r>
      <w:proofErr w:type="gramEnd"/>
      <w:r>
        <w:rPr>
          <w:sz w:val="18"/>
          <w:szCs w:val="18"/>
        </w:rPr>
        <w:t xml:space="preserve"> tarihli ve 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kullanmak zorunda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yerine)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kullanma mecburiyeti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Yeni Nesil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Kaydedici Cihazlar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cihazlar, temel olarak Basit/Bilgisayar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olan cihazlar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gruba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pompalar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lanan, sinema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bileti ve yolcu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bileti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zenleyen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 da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girmektedir.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4. Yeni Nesil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Kaydedici Cihazlar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Kullanma Mecburiyetinin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lama Tarihleri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kademeli bir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lmektedir.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re: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 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kullanmak zorunda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kelleflerden, faaliyetlerinde seyyar EFT-POS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kullananlar 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 xml:space="preserve"> tarihinden itibaren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kaydedici cihazlardan 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Kapsama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kelleflerin,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tarihten sonra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seyyar EFT-POS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kaydedici cihaz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 bu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alarak kullanabilirler.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Yol kenar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otopark hizmeti veren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 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 xml:space="preserve"> tarihinden itibaren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kaydedici cihazlardan 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Basit/Bilgisayar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 zorunda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 bu mecburiyetleri (3100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muaf tutulanlar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1/1/2016</w:t>
      </w:r>
      <w:proofErr w:type="gramEnd"/>
      <w:r>
        <w:rPr>
          <w:sz w:val="18"/>
          <w:szCs w:val="18"/>
        </w:rPr>
        <w:t xml:space="preserve"> tarihinde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kellefler, bu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alarak kullanabilirler.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kellefler, istemeleri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olan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kullanabilirler.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pompalar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kullanmak zorunda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kelleflerin,  bu cihazlarla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artlara uygun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ilgili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ihtiyari olarak sinema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bileti veya yolcu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bileti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cihaz kullanan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kellefler, </w:t>
      </w:r>
      <w:proofErr w:type="gramStart"/>
      <w:r>
        <w:rPr>
          <w:sz w:val="18"/>
          <w:szCs w:val="18"/>
        </w:rPr>
        <w:t>1/1/2016</w:t>
      </w:r>
      <w:proofErr w:type="gramEnd"/>
      <w:r>
        <w:rPr>
          <w:sz w:val="18"/>
          <w:szCs w:val="18"/>
        </w:rPr>
        <w:t xml:space="preserve"> tarihinden itibaren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kullanmak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bu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sinema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bileti veya yolcu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bileti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zenleyebilecek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retilmesi veya ithal edilmesi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kellefler, 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bi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31/12/2015</w:t>
      </w:r>
      <w:proofErr w:type="gramEnd"/>
      <w:r>
        <w:rPr>
          <w:sz w:val="18"/>
          <w:szCs w:val="18"/>
        </w:rPr>
        <w:t xml:space="preserve"> tarihini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doluncaya kadar kullanabilirler. </w:t>
      </w:r>
      <w:proofErr w:type="gramStart"/>
      <w:r>
        <w:rPr>
          <w:sz w:val="18"/>
          <w:szCs w:val="18"/>
        </w:rPr>
        <w:t>1/1/2014</w:t>
      </w:r>
      <w:proofErr w:type="gramEnd"/>
      <w:r>
        <w:rPr>
          <w:sz w:val="18"/>
          <w:szCs w:val="18"/>
        </w:rPr>
        <w:t xml:space="preserve">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cihazlara, yeni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ve cihaz 15/5/2004 tarihli ve 25463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(Seri No: 60)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hurdaya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hurdaya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suretiyle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getirebilirler.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5. Yeni Nesil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Kaydedici Cihazlar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Onay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Teknik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zellikleri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modellerinin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kelleflerce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Onay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veya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9/2/1985</w:t>
      </w:r>
      <w:proofErr w:type="gramEnd"/>
      <w:r>
        <w:rPr>
          <w:sz w:val="18"/>
          <w:szCs w:val="18"/>
        </w:rPr>
        <w:t xml:space="preserve"> tarihli ve 18661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Kanunla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Genel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(Seri No:1) VIII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bilgi ve belgelerle birlikte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Onay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firmalar idari ve teknik incelemeye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tutulur.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idari incelemeleri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onay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idari incelemeleri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onay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firmalar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tekrar idari incelemeye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tutulabilir.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teknik incelemeler,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belirlenecek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Bilimsel ve Teknolojik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Kurumu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TAK)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birlikte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Ortak Kriterler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Garanti Seviyesinin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Koruma Profili (Ortak Kriterler Belgesi) aranan cihazlar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belge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(TSE) de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ilgili kurumlara da ilave inceleme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idari incelemeleri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spet neticelenmi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firmalara, yetkili kurumlarca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teknik incelemelerin 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spet neticelenmesi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marka ve modelleri itibariyle onay belgesi verilir.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ktan onay alan firmalar ile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marka ve modelleri www.</w:t>
      </w:r>
      <w:proofErr w:type="spellStart"/>
      <w:r>
        <w:rPr>
          <w:sz w:val="18"/>
          <w:szCs w:val="18"/>
        </w:rPr>
        <w:t>gib</w:t>
      </w:r>
      <w:proofErr w:type="spellEnd"/>
      <w:r>
        <w:rPr>
          <w:sz w:val="18"/>
          <w:szCs w:val="18"/>
        </w:rPr>
        <w:t xml:space="preserve">.gov.tr internet sitesinde ilan edilir.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onaylanarak ilan edilen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belgelerde belirtilen teknik ve fonksiyonel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.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KC Teknik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 1 veya 2.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</w:t>
      </w:r>
      <w:proofErr w:type="gramEnd"/>
      <w:r>
        <w:rPr>
          <w:sz w:val="18"/>
          <w:szCs w:val="18"/>
        </w:rPr>
        <w:t xml:space="preserve">. Ortak Kriterler Belgesi (EFT-POS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aranmayacakt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r).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</w:t>
      </w:r>
      <w:proofErr w:type="gramEnd"/>
      <w:r>
        <w:rPr>
          <w:sz w:val="18"/>
          <w:szCs w:val="18"/>
        </w:rPr>
        <w:t>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Mesajla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Protokolleri 1veya 2.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ç</w:t>
      </w:r>
      <w:proofErr w:type="gramEnd"/>
      <w:r>
        <w:rPr>
          <w:sz w:val="18"/>
          <w:szCs w:val="18"/>
        </w:rPr>
        <w:t>. Gerekmesi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yetkili kurumlara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incelemelere dair raporlar.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>. Konuyla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belgelerde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ilan veya taraflara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kaydedici cihazlar,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veya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firmalarca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nceden bilgi verilmek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sonuna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kellef, cihaz veya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la ilgili bilgileri ihtiva eden </w:t>
      </w:r>
      <w:proofErr w:type="spellStart"/>
      <w:r>
        <w:rPr>
          <w:sz w:val="18"/>
          <w:szCs w:val="18"/>
        </w:rPr>
        <w:t>Karekod</w:t>
      </w:r>
      <w:proofErr w:type="spellEnd"/>
      <w:r>
        <w:rPr>
          <w:sz w:val="18"/>
          <w:szCs w:val="18"/>
        </w:rPr>
        <w:t xml:space="preserve"> (QR </w:t>
      </w:r>
      <w:proofErr w:type="spellStart"/>
      <w:r>
        <w:rPr>
          <w:sz w:val="18"/>
          <w:szCs w:val="18"/>
        </w:rPr>
        <w:t>Code</w:t>
      </w:r>
      <w:proofErr w:type="spellEnd"/>
      <w:r>
        <w:rPr>
          <w:sz w:val="18"/>
          <w:szCs w:val="18"/>
        </w:rPr>
        <w:t xml:space="preserve">) basabilir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de, teknik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lavuzlarda ve Ortak Kriterler Belgesinde belirtilenlere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tertibatlar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teknik ve fonksiyonel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itibariyle 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temel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testler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>.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testleri.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KC mali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fonksiyonel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testleri.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</w:t>
      </w:r>
      <w:proofErr w:type="gramEnd"/>
      <w:r>
        <w:rPr>
          <w:sz w:val="18"/>
          <w:szCs w:val="18"/>
        </w:rPr>
        <w:t>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testleri.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ç</w:t>
      </w:r>
      <w:proofErr w:type="gramEnd"/>
      <w:r>
        <w:rPr>
          <w:sz w:val="18"/>
          <w:szCs w:val="18"/>
        </w:rPr>
        <w:t>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cihazlarla ilgili olarak belirlemi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kalite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erleriyle ilgili testler.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servis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 sistemleri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uyum ve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testleri,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uca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testleri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testleri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yetkilidir.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 Yeni Nesil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Kaydedici Cihazlar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releri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kullanmak mecburiyetinde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kelleflerden, belirli bir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cihaz kullanma mecburiyeti getirilenler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faturas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ise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faturas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dairesine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eyle (al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faturas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cihaz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cihazdan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bir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gerekli belgeleri eklemek suretiyle)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ederek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ettirmek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 </w:t>
      </w:r>
      <w:proofErr w:type="gramEnd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birlikte,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her bir cihaz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cihazlara ait levhay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dairelerinden alarak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muhafaza etmesi gerekir.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Misal olarak,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yer alan EFT-POS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zellikli cihaz kullanma mecburiyetine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faturas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(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 xml:space="preserve"> tarihinden itibaren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zere)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tamamlamas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7. 3100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Kanun ve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lgili Mevzuat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Mecburiyeti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lerin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ikincil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ve 5 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mleri,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uygulanmaya devam edilir.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8. Cezai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eyyide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belirlenen usul ve esaslara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hareket eden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 ve yeni nesil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kaydedici cihaz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 veya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Vergi Usul Kanununun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355 inci maddesinde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9.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3/4/1986</w:t>
      </w:r>
      <w:proofErr w:type="gramEnd"/>
      <w:r>
        <w:rPr>
          <w:sz w:val="18"/>
          <w:szCs w:val="18"/>
        </w:rPr>
        <w:t xml:space="preserve"> tarihli ve 19067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No:173)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C/4-a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D32650" w:rsidRDefault="00D32650" w:rsidP="00D32650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D32650" w:rsidRDefault="00D32650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D3265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0C9"/>
    <w:rsid w:val="000370C9"/>
    <w:rsid w:val="00073B7C"/>
    <w:rsid w:val="000E72F9"/>
    <w:rsid w:val="001247BF"/>
    <w:rsid w:val="001917EB"/>
    <w:rsid w:val="002950D7"/>
    <w:rsid w:val="003F0A2F"/>
    <w:rsid w:val="003F0E00"/>
    <w:rsid w:val="00411676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E2DD9"/>
    <w:rsid w:val="008E6D17"/>
    <w:rsid w:val="00951485"/>
    <w:rsid w:val="00980465"/>
    <w:rsid w:val="009857E1"/>
    <w:rsid w:val="00A35196"/>
    <w:rsid w:val="00AA786A"/>
    <w:rsid w:val="00AC0A86"/>
    <w:rsid w:val="00AF4CAE"/>
    <w:rsid w:val="00B159E5"/>
    <w:rsid w:val="00C0738B"/>
    <w:rsid w:val="00C44A38"/>
    <w:rsid w:val="00CC7F48"/>
    <w:rsid w:val="00CD7106"/>
    <w:rsid w:val="00D177BA"/>
    <w:rsid w:val="00D32650"/>
    <w:rsid w:val="00D35A33"/>
    <w:rsid w:val="00D41BC0"/>
    <w:rsid w:val="00DF3052"/>
    <w:rsid w:val="00F01301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1779</Words>
  <Characters>10141</Characters>
  <Application>Microsoft Office Word</Application>
  <DocSecurity>0</DocSecurity>
  <Lines>84</Lines>
  <Paragraphs>23</Paragraphs>
  <ScaleCrop>false</ScaleCrop>
  <Company>TURMOB</Company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42</cp:revision>
  <dcterms:created xsi:type="dcterms:W3CDTF">2013-06-03T05:31:00Z</dcterms:created>
  <dcterms:modified xsi:type="dcterms:W3CDTF">2013-06-17T05:31:00Z</dcterms:modified>
</cp:coreProperties>
</file>