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9686A" w:rsidRDefault="00627628" w:rsidP="00CE6B7C">
      <w:pPr>
        <w:spacing w:after="0" w:line="280" w:lineRule="atLeast"/>
        <w:rPr>
          <w:rFonts w:ascii="Times New Roman" w:hAnsi="Times New Roman" w:cs="Times New Roman"/>
          <w:sz w:val="20"/>
          <w:szCs w:val="20"/>
        </w:rPr>
      </w:pPr>
    </w:p>
    <w:p w:rsidR="000370C9" w:rsidRPr="0099686A" w:rsidRDefault="0099686A" w:rsidP="00CE6B7C">
      <w:pPr>
        <w:spacing w:after="0" w:line="280" w:lineRule="atLeast"/>
        <w:rPr>
          <w:rFonts w:ascii="Times New Roman" w:hAnsi="Times New Roman" w:cs="Times New Roman"/>
          <w:b/>
          <w:sz w:val="20"/>
          <w:szCs w:val="20"/>
          <w:u w:val="single"/>
        </w:rPr>
      </w:pPr>
      <w:r w:rsidRPr="0099686A">
        <w:rPr>
          <w:rFonts w:ascii="Times New Roman" w:hAnsi="Times New Roman" w:cs="Times New Roman"/>
          <w:b/>
          <w:sz w:val="20"/>
          <w:szCs w:val="20"/>
          <w:u w:val="single"/>
        </w:rPr>
        <w:t>19</w:t>
      </w:r>
      <w:r w:rsidR="00FA30A2" w:rsidRPr="0099686A">
        <w:rPr>
          <w:rFonts w:ascii="Times New Roman" w:hAnsi="Times New Roman" w:cs="Times New Roman"/>
          <w:b/>
          <w:sz w:val="20"/>
          <w:szCs w:val="20"/>
          <w:u w:val="single"/>
        </w:rPr>
        <w:t xml:space="preserve"> </w:t>
      </w:r>
      <w:r w:rsidR="000370C9" w:rsidRPr="0099686A">
        <w:rPr>
          <w:rFonts w:ascii="Times New Roman" w:hAnsi="Times New Roman" w:cs="Times New Roman"/>
          <w:b/>
          <w:sz w:val="20"/>
          <w:szCs w:val="20"/>
          <w:u w:val="single"/>
        </w:rPr>
        <w:t xml:space="preserve">Haziran 2013, </w:t>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0370C9" w:rsidRPr="0099686A">
        <w:rPr>
          <w:rFonts w:ascii="Times New Roman" w:hAnsi="Times New Roman" w:cs="Times New Roman"/>
          <w:b/>
          <w:sz w:val="20"/>
          <w:szCs w:val="20"/>
          <w:u w:val="single"/>
        </w:rPr>
        <w:tab/>
      </w:r>
      <w:r w:rsidR="002950D7" w:rsidRPr="0099686A">
        <w:rPr>
          <w:rFonts w:ascii="Times New Roman" w:hAnsi="Times New Roman" w:cs="Times New Roman"/>
          <w:b/>
          <w:sz w:val="20"/>
          <w:szCs w:val="20"/>
          <w:u w:val="single"/>
        </w:rPr>
        <w:tab/>
      </w:r>
      <w:proofErr w:type="gramStart"/>
      <w:r w:rsidRPr="0099686A">
        <w:rPr>
          <w:rFonts w:ascii="Times New Roman" w:hAnsi="Times New Roman" w:cs="Times New Roman"/>
          <w:b/>
          <w:sz w:val="20"/>
          <w:szCs w:val="20"/>
          <w:u w:val="single"/>
        </w:rPr>
        <w:t>Sayı : 28682</w:t>
      </w:r>
      <w:proofErr w:type="gramEnd"/>
    </w:p>
    <w:p w:rsidR="003F0E00" w:rsidRPr="0099686A" w:rsidRDefault="003F0E00" w:rsidP="00CE6B7C">
      <w:pPr>
        <w:spacing w:after="0" w:line="280" w:lineRule="atLeast"/>
        <w:jc w:val="both"/>
        <w:rPr>
          <w:rFonts w:ascii="Times New Roman" w:hAnsi="Times New Roman" w:cs="Times New Roman"/>
          <w:sz w:val="20"/>
          <w:szCs w:val="20"/>
        </w:rPr>
      </w:pPr>
    </w:p>
    <w:p w:rsidR="0099686A" w:rsidRPr="0099686A" w:rsidRDefault="0099686A" w:rsidP="0099686A">
      <w:pPr>
        <w:jc w:val="both"/>
        <w:rPr>
          <w:rFonts w:ascii="Times New Roman" w:hAnsi="Times New Roman" w:cs="Times New Roman"/>
          <w:b/>
          <w:sz w:val="20"/>
          <w:szCs w:val="20"/>
        </w:rPr>
      </w:pPr>
      <w:r w:rsidRPr="0099686A">
        <w:rPr>
          <w:rFonts w:ascii="Times New Roman" w:hAnsi="Times New Roman" w:cs="Times New Roman"/>
          <w:b/>
          <w:sz w:val="20"/>
          <w:szCs w:val="20"/>
        </w:rPr>
        <w:t>Başbakanlık (Hazine Müsteşarlığı)’tan:</w:t>
      </w:r>
    </w:p>
    <w:p w:rsidR="0099686A" w:rsidRPr="0099686A" w:rsidRDefault="0099686A" w:rsidP="0099686A">
      <w:pPr>
        <w:pStyle w:val="NormalWeb"/>
        <w:spacing w:before="0" w:beforeAutospacing="0" w:after="0" w:afterAutospacing="0" w:line="276" w:lineRule="auto"/>
        <w:jc w:val="center"/>
        <w:rPr>
          <w:sz w:val="20"/>
          <w:szCs w:val="20"/>
        </w:rPr>
      </w:pPr>
      <w:r w:rsidRPr="0099686A">
        <w:rPr>
          <w:b/>
          <w:bCs/>
          <w:sz w:val="20"/>
          <w:szCs w:val="20"/>
        </w:rPr>
        <w:t> </w:t>
      </w:r>
    </w:p>
    <w:p w:rsidR="0099686A" w:rsidRPr="0099686A" w:rsidRDefault="0099686A" w:rsidP="0099686A">
      <w:pPr>
        <w:pStyle w:val="NormalWeb"/>
        <w:spacing w:before="0" w:beforeAutospacing="0" w:after="0" w:afterAutospacing="0" w:line="276" w:lineRule="auto"/>
        <w:jc w:val="center"/>
        <w:rPr>
          <w:sz w:val="20"/>
          <w:szCs w:val="20"/>
        </w:rPr>
      </w:pPr>
      <w:r w:rsidRPr="0099686A">
        <w:rPr>
          <w:b/>
          <w:bCs/>
          <w:sz w:val="20"/>
          <w:szCs w:val="20"/>
        </w:rPr>
        <w:t>KARAYOLLARI MOTORLU ARAÇLAR ZORUNLU MALİ SORUMLULUK</w:t>
      </w:r>
    </w:p>
    <w:p w:rsidR="0099686A" w:rsidRPr="0099686A" w:rsidRDefault="0099686A" w:rsidP="0099686A">
      <w:pPr>
        <w:pStyle w:val="NormalWeb"/>
        <w:spacing w:before="0" w:beforeAutospacing="0" w:after="0" w:afterAutospacing="0" w:line="276" w:lineRule="auto"/>
        <w:jc w:val="center"/>
        <w:rPr>
          <w:sz w:val="20"/>
          <w:szCs w:val="20"/>
        </w:rPr>
      </w:pPr>
      <w:r w:rsidRPr="0099686A">
        <w:rPr>
          <w:b/>
          <w:bCs/>
          <w:sz w:val="20"/>
          <w:szCs w:val="20"/>
        </w:rPr>
        <w:t>SİGORTASINDA TARİFE UYGULAMA ESASLARI HAKKINDA</w:t>
      </w:r>
    </w:p>
    <w:p w:rsidR="0099686A" w:rsidRPr="0099686A" w:rsidRDefault="0099686A" w:rsidP="0099686A">
      <w:pPr>
        <w:pStyle w:val="NormalWeb"/>
        <w:spacing w:before="0" w:beforeAutospacing="0" w:after="0" w:afterAutospacing="0" w:line="276" w:lineRule="auto"/>
        <w:jc w:val="center"/>
        <w:rPr>
          <w:sz w:val="20"/>
          <w:szCs w:val="20"/>
        </w:rPr>
      </w:pPr>
      <w:r w:rsidRPr="0099686A">
        <w:rPr>
          <w:b/>
          <w:bCs/>
          <w:sz w:val="20"/>
          <w:szCs w:val="20"/>
        </w:rPr>
        <w:t>YÖNETMELİKTE DEĞİŞİKLİK YAPILMASINA</w:t>
      </w:r>
    </w:p>
    <w:p w:rsidR="0099686A" w:rsidRPr="0099686A" w:rsidRDefault="0099686A" w:rsidP="0099686A">
      <w:pPr>
        <w:pStyle w:val="NormalWeb"/>
        <w:spacing w:before="0" w:beforeAutospacing="0" w:after="0" w:afterAutospacing="0" w:line="276" w:lineRule="auto"/>
        <w:jc w:val="center"/>
        <w:rPr>
          <w:sz w:val="20"/>
          <w:szCs w:val="20"/>
        </w:rPr>
      </w:pPr>
      <w:r w:rsidRPr="0099686A">
        <w:rPr>
          <w:b/>
          <w:bCs/>
          <w:sz w:val="20"/>
          <w:szCs w:val="20"/>
        </w:rPr>
        <w:t>DAİR YÖNETMELİK</w:t>
      </w:r>
    </w:p>
    <w:p w:rsidR="0099686A" w:rsidRPr="0099686A" w:rsidRDefault="0099686A" w:rsidP="0099686A">
      <w:pPr>
        <w:pStyle w:val="NormalWeb"/>
        <w:spacing w:before="0" w:beforeAutospacing="0" w:after="0" w:afterAutospacing="0" w:line="276" w:lineRule="auto"/>
        <w:jc w:val="center"/>
        <w:rPr>
          <w:sz w:val="20"/>
          <w:szCs w:val="20"/>
        </w:rPr>
      </w:pPr>
      <w:r w:rsidRPr="0099686A">
        <w:rPr>
          <w:b/>
          <w:bCs/>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 xml:space="preserve">MADDE 1 – </w:t>
      </w:r>
      <w:proofErr w:type="gramStart"/>
      <w:r w:rsidRPr="0099686A">
        <w:rPr>
          <w:rFonts w:ascii="Times New Roman" w:hAnsi="Times New Roman" w:cs="Times New Roman"/>
          <w:sz w:val="20"/>
          <w:szCs w:val="20"/>
        </w:rPr>
        <w:t>14/7/2007</w:t>
      </w:r>
      <w:proofErr w:type="gramEnd"/>
      <w:r w:rsidRPr="0099686A">
        <w:rPr>
          <w:rFonts w:ascii="Times New Roman" w:hAnsi="Times New Roman" w:cs="Times New Roman"/>
          <w:sz w:val="20"/>
          <w:szCs w:val="20"/>
        </w:rPr>
        <w:t xml:space="preserve"> tarihli ve 26582 sayılı Resmî Gazete’de yayımlanan Karayolları Motorlu Araçlar Zorunlu Mali Sorumluluk Sigortasında Tarife Uygulama Esasları Hakkında Yönetmeliğin 1 inci maddesi aşağıdaki şekilde değiştirilmiştir.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“MADDE 1 –</w:t>
      </w:r>
      <w:r w:rsidRPr="0099686A">
        <w:rPr>
          <w:rFonts w:ascii="Times New Roman" w:hAnsi="Times New Roman" w:cs="Times New Roman"/>
          <w:sz w:val="20"/>
          <w:szCs w:val="20"/>
        </w:rPr>
        <w:t xml:space="preserve"> (1) Bu Yönetmeliğin amacı karayolları motorlu araçlar zorunlu mali sorumluluk sigortası tarifelerinin sigorta şirketlerince serbest olarak belirlenmesine ilişkin usul ve esasları düzenlemektir.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(2) Bu Yönetmelik, karayolları motorlu araçlar zorunlu mali sorumluluk sigortası kapsamında; sigorta primlerinin sigorta şirketlerince serbest olarak tespiti esaslarına, asgari sigorta teminat tutarlarına, motorlu araçlarla ilgili mesleki faaliyette bulunanlar ile yarış düzenleyenlerin yaptırmak zorunda oldukları sorumluluk sigortasına ilişkin hükümleri kapsar.”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 xml:space="preserve">MADDE 2 – </w:t>
      </w:r>
      <w:r w:rsidRPr="0099686A">
        <w:rPr>
          <w:rFonts w:ascii="Times New Roman" w:hAnsi="Times New Roman" w:cs="Times New Roman"/>
          <w:sz w:val="20"/>
          <w:szCs w:val="20"/>
        </w:rPr>
        <w:t>Aynı Yönetmeliğin 3 üncü maddesinin birinci fıkrasının (b) ve (ğ) bentleri aşağıdaki şekilde değiştirilmiştir.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“b) Birlik: Türkiye Sigorta, Reasürans ve Emeklilik Şirketleri Birliğini,”</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“ğ) TRAMER: Trafik Sigortaları Bilgi ve Gözetim Merkezini,”</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 xml:space="preserve">MADDE 3 – </w:t>
      </w:r>
      <w:r w:rsidRPr="0099686A">
        <w:rPr>
          <w:rFonts w:ascii="Times New Roman" w:hAnsi="Times New Roman" w:cs="Times New Roman"/>
          <w:sz w:val="20"/>
          <w:szCs w:val="20"/>
        </w:rPr>
        <w:t>Aynı Yönetmeliğin 4 üncü maddesinin birinci ve ikinci fıkraları aşağıdaki şekilde değiştirilmiş ve aynı maddeye aşağıdaki fıkra eklenmiştir.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“(1) Sigorta şirketleri, bu Yönetmeliğin ekindeki tablolarda yer alan araç türüne göre il bazında temel sigorta primini serbestçe tespit edebilirler.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(2) Sigorta şirketleri tespit ettikleri temel primleri ve tarifeleri ilgili ayın birinden son gününe kadar değiştiremezler.”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lastRenderedPageBreak/>
        <w:t xml:space="preserve">“(4) Sigorta şirketleri poliçe üretim ve düzenleme süreçlerinde motorlu araç işletenlere sigorta primi teklifi verme seçeneğine yer vermek ve buna ilişkin gerekli teknik altyapıyı tesis etmek zorundadırlar. Sigorta şirketleri tarafından verilen teklifler, her durumda üç iş gününden az olmamak kaydıyla teklifin verildiği ay sonuna kadar geçerlidir. Sigorta şirketleri belirledikleri temel sigorta primleri ve motorlu araç işletenlere uygulayacakları prim indirim ve artırım sebeplerini oranlarıyla beraber uygulamaya başlamadan 10 gün önce </w:t>
      </w:r>
      <w:proofErr w:type="spellStart"/>
      <w:r w:rsidRPr="0099686A">
        <w:rPr>
          <w:rFonts w:ascii="Times New Roman" w:hAnsi="Times New Roman" w:cs="Times New Roman"/>
          <w:sz w:val="20"/>
          <w:szCs w:val="20"/>
        </w:rPr>
        <w:t>TRAMER’e</w:t>
      </w:r>
      <w:proofErr w:type="spellEnd"/>
      <w:r w:rsidRPr="0099686A">
        <w:rPr>
          <w:rFonts w:ascii="Times New Roman" w:hAnsi="Times New Roman" w:cs="Times New Roman"/>
          <w:sz w:val="20"/>
          <w:szCs w:val="20"/>
        </w:rPr>
        <w:t xml:space="preserve"> yazılı olarak ve güvenli elektronik ortamda gönderirler. TRAMER, söz konusu temel prim, prim indirim ve artırım sebeplerini oranlarıyla beraber Müsteşarlığın erişimine sunar.”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 xml:space="preserve">MADDE 4 – </w:t>
      </w:r>
      <w:r w:rsidRPr="0099686A">
        <w:rPr>
          <w:rFonts w:ascii="Times New Roman" w:hAnsi="Times New Roman" w:cs="Times New Roman"/>
          <w:sz w:val="20"/>
          <w:szCs w:val="20"/>
        </w:rPr>
        <w:t>Aynı Yönetmeliğin 5 inci maddesinin birinci fıkrası aşağıdaki şekilde değiştirilmiştir.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“(1) Hasarsızlık sebebiyle prim indirimi ve hasar sebebiyle prim artırımı bu maddede yer alan basamak esasına göre uygulanır. Müsteşarlık hasarsızlık ve hasar sebebiyle prim indirim ve artırımı için özel esaslar getirebilir.</w:t>
      </w:r>
    </w:p>
    <w:p w:rsidR="0099686A" w:rsidRPr="0099686A" w:rsidRDefault="0099686A" w:rsidP="0099686A">
      <w:pPr>
        <w:pStyle w:val="NormalWeb"/>
        <w:rPr>
          <w:sz w:val="20"/>
          <w:szCs w:val="20"/>
        </w:rPr>
      </w:pPr>
      <w:r w:rsidRPr="0099686A">
        <w:rPr>
          <w:sz w:val="20"/>
          <w:szCs w:val="20"/>
        </w:rPr>
        <w:t> </w:t>
      </w:r>
    </w:p>
    <w:tbl>
      <w:tblPr>
        <w:tblW w:w="8505" w:type="dxa"/>
        <w:jc w:val="center"/>
        <w:tblCellSpacing w:w="0" w:type="dxa"/>
        <w:tblCellMar>
          <w:left w:w="0" w:type="dxa"/>
          <w:right w:w="0" w:type="dxa"/>
        </w:tblCellMar>
        <w:tblLook w:val="04A0"/>
      </w:tblPr>
      <w:tblGrid>
        <w:gridCol w:w="2584"/>
        <w:gridCol w:w="2457"/>
        <w:gridCol w:w="3464"/>
      </w:tblGrid>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rStyle w:val="Gl"/>
                <w:sz w:val="20"/>
                <w:szCs w:val="20"/>
              </w:rPr>
              <w:t>Basamak No</w:t>
            </w:r>
          </w:p>
        </w:tc>
        <w:tc>
          <w:tcPr>
            <w:tcW w:w="2580" w:type="dxa"/>
            <w:hideMark/>
          </w:tcPr>
          <w:p w:rsidR="0099686A" w:rsidRPr="0099686A" w:rsidRDefault="0099686A">
            <w:pPr>
              <w:pStyle w:val="NormalWeb"/>
              <w:jc w:val="center"/>
              <w:rPr>
                <w:sz w:val="20"/>
                <w:szCs w:val="20"/>
              </w:rPr>
            </w:pPr>
            <w:r w:rsidRPr="0099686A">
              <w:rPr>
                <w:rStyle w:val="Gl"/>
                <w:sz w:val="20"/>
                <w:szCs w:val="20"/>
              </w:rPr>
              <w:t>*İndirim %</w:t>
            </w:r>
          </w:p>
        </w:tc>
        <w:tc>
          <w:tcPr>
            <w:tcW w:w="3660" w:type="dxa"/>
            <w:hideMark/>
          </w:tcPr>
          <w:p w:rsidR="0099686A" w:rsidRPr="0099686A" w:rsidRDefault="0099686A">
            <w:pPr>
              <w:pStyle w:val="NormalWeb"/>
              <w:jc w:val="center"/>
              <w:rPr>
                <w:sz w:val="20"/>
                <w:szCs w:val="20"/>
              </w:rPr>
            </w:pPr>
            <w:r w:rsidRPr="0099686A">
              <w:rPr>
                <w:rStyle w:val="Gl"/>
                <w:sz w:val="20"/>
                <w:szCs w:val="20"/>
              </w:rPr>
              <w:t>*Artırım %</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7</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6</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5</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4</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3</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2</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r w:rsidR="0099686A" w:rsidRPr="0099686A">
        <w:trPr>
          <w:trHeight w:val="375"/>
          <w:tblCellSpacing w:w="0" w:type="dxa"/>
          <w:jc w:val="center"/>
        </w:trPr>
        <w:tc>
          <w:tcPr>
            <w:tcW w:w="2715" w:type="dxa"/>
            <w:hideMark/>
          </w:tcPr>
          <w:p w:rsidR="0099686A" w:rsidRPr="0099686A" w:rsidRDefault="0099686A">
            <w:pPr>
              <w:pStyle w:val="NormalWeb"/>
              <w:jc w:val="center"/>
              <w:rPr>
                <w:sz w:val="20"/>
                <w:szCs w:val="20"/>
              </w:rPr>
            </w:pPr>
            <w:r w:rsidRPr="0099686A">
              <w:rPr>
                <w:sz w:val="20"/>
                <w:szCs w:val="20"/>
              </w:rPr>
              <w:t>1</w:t>
            </w:r>
          </w:p>
        </w:tc>
        <w:tc>
          <w:tcPr>
            <w:tcW w:w="2580" w:type="dxa"/>
            <w:hideMark/>
          </w:tcPr>
          <w:p w:rsidR="0099686A" w:rsidRPr="0099686A" w:rsidRDefault="0099686A">
            <w:pPr>
              <w:pStyle w:val="NormalWeb"/>
              <w:jc w:val="center"/>
              <w:rPr>
                <w:sz w:val="20"/>
                <w:szCs w:val="20"/>
              </w:rPr>
            </w:pPr>
            <w:r w:rsidRPr="0099686A">
              <w:rPr>
                <w:sz w:val="20"/>
                <w:szCs w:val="20"/>
              </w:rPr>
              <w:t>-</w:t>
            </w:r>
          </w:p>
        </w:tc>
        <w:tc>
          <w:tcPr>
            <w:tcW w:w="3660" w:type="dxa"/>
            <w:hideMark/>
          </w:tcPr>
          <w:p w:rsidR="0099686A" w:rsidRPr="0099686A" w:rsidRDefault="0099686A">
            <w:pPr>
              <w:pStyle w:val="NormalWeb"/>
              <w:jc w:val="center"/>
              <w:rPr>
                <w:sz w:val="20"/>
                <w:szCs w:val="20"/>
              </w:rPr>
            </w:pPr>
            <w:r w:rsidRPr="0099686A">
              <w:rPr>
                <w:sz w:val="20"/>
                <w:szCs w:val="20"/>
              </w:rPr>
              <w:t>-</w:t>
            </w:r>
          </w:p>
        </w:tc>
      </w:tr>
    </w:tbl>
    <w:p w:rsidR="0099686A" w:rsidRPr="0099686A" w:rsidRDefault="0099686A" w:rsidP="0099686A">
      <w:pPr>
        <w:pStyle w:val="NormalWeb"/>
        <w:rPr>
          <w:sz w:val="20"/>
          <w:szCs w:val="20"/>
        </w:rPr>
      </w:pPr>
      <w:r w:rsidRPr="0099686A">
        <w:rPr>
          <w:sz w:val="20"/>
          <w:szCs w:val="20"/>
        </w:rPr>
        <w:t>* İndirim ve artırım oranları şirketlerce serbestçe belirlenecektir.”</w:t>
      </w:r>
    </w:p>
    <w:p w:rsidR="0099686A" w:rsidRPr="0099686A" w:rsidRDefault="0099686A" w:rsidP="0099686A">
      <w:pPr>
        <w:pStyle w:val="NormalWeb"/>
        <w:rPr>
          <w:sz w:val="20"/>
          <w:szCs w:val="20"/>
        </w:rPr>
      </w:pPr>
      <w:r w:rsidRPr="0099686A">
        <w:rPr>
          <w:rStyle w:val="Gl"/>
          <w:sz w:val="20"/>
          <w:szCs w:val="20"/>
        </w:rPr>
        <w:t>MADDE 5 –</w:t>
      </w:r>
      <w:r w:rsidRPr="0099686A">
        <w:rPr>
          <w:sz w:val="20"/>
          <w:szCs w:val="20"/>
        </w:rPr>
        <w:t xml:space="preserve"> Aynı Yönetmeliğin 6 </w:t>
      </w:r>
      <w:proofErr w:type="spellStart"/>
      <w:r w:rsidRPr="0099686A">
        <w:rPr>
          <w:sz w:val="20"/>
          <w:szCs w:val="20"/>
        </w:rPr>
        <w:t>ncı</w:t>
      </w:r>
      <w:proofErr w:type="spellEnd"/>
      <w:r w:rsidRPr="0099686A">
        <w:rPr>
          <w:sz w:val="20"/>
          <w:szCs w:val="20"/>
        </w:rPr>
        <w:t xml:space="preserve"> maddesinin üçüncü fıkrasının son cümlesi yürürlükten kaldırılmıştır.</w:t>
      </w:r>
    </w:p>
    <w:p w:rsidR="0099686A" w:rsidRPr="0099686A" w:rsidRDefault="0099686A" w:rsidP="0099686A">
      <w:pPr>
        <w:pStyle w:val="NormalWeb"/>
        <w:rPr>
          <w:sz w:val="20"/>
          <w:szCs w:val="20"/>
        </w:rPr>
      </w:pPr>
      <w:r w:rsidRPr="0099686A">
        <w:rPr>
          <w:rStyle w:val="Gl"/>
          <w:sz w:val="20"/>
          <w:szCs w:val="20"/>
        </w:rPr>
        <w:t xml:space="preserve">MADDE 6 – </w:t>
      </w:r>
      <w:r w:rsidRPr="0099686A">
        <w:rPr>
          <w:sz w:val="20"/>
          <w:szCs w:val="20"/>
        </w:rPr>
        <w:t>Aynı Yönetmeliğin 8 inci maddesi yürürlükten kaldırılmıştır.</w:t>
      </w:r>
    </w:p>
    <w:p w:rsidR="0099686A" w:rsidRPr="0099686A" w:rsidRDefault="0099686A" w:rsidP="0099686A">
      <w:pPr>
        <w:pStyle w:val="NormalWeb"/>
        <w:rPr>
          <w:sz w:val="20"/>
          <w:szCs w:val="20"/>
        </w:rPr>
      </w:pPr>
      <w:r w:rsidRPr="0099686A">
        <w:rPr>
          <w:rStyle w:val="Gl"/>
          <w:sz w:val="20"/>
          <w:szCs w:val="20"/>
        </w:rPr>
        <w:t xml:space="preserve">MADDE 7 – </w:t>
      </w:r>
      <w:r w:rsidRPr="0099686A">
        <w:rPr>
          <w:sz w:val="20"/>
          <w:szCs w:val="20"/>
        </w:rPr>
        <w:t>Aynı Yönetmeliğin 11 inci maddesi başlığı ile birlikte aşağıdaki şekilde değiştirilmiştir.</w:t>
      </w:r>
    </w:p>
    <w:p w:rsidR="0099686A" w:rsidRPr="0099686A" w:rsidRDefault="0099686A" w:rsidP="0099686A">
      <w:pPr>
        <w:pStyle w:val="NormalWeb"/>
        <w:rPr>
          <w:sz w:val="20"/>
          <w:szCs w:val="20"/>
        </w:rPr>
      </w:pPr>
      <w:r w:rsidRPr="0099686A">
        <w:rPr>
          <w:rStyle w:val="Gl"/>
          <w:sz w:val="20"/>
          <w:szCs w:val="20"/>
        </w:rPr>
        <w:t>“İşletenin değişmesi</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MADDE 11 –</w:t>
      </w:r>
      <w:r w:rsidRPr="0099686A">
        <w:rPr>
          <w:rFonts w:ascii="Times New Roman" w:hAnsi="Times New Roman" w:cs="Times New Roman"/>
          <w:sz w:val="20"/>
          <w:szCs w:val="20"/>
        </w:rPr>
        <w:t xml:space="preserve"> (1) Sigorta sözleşmesi, sözleşmeye taraf olan araç işletenini takip eder. İşletenin değiştiği her durumda mevcut sözleşme değişim tarihi itibarıyla kendiliğinden sona erer ve ilgiliye gün esasına göre prim iadesi yapılır. Ancak, mevcut sözleşme işletenin değiştiği tarihten itibaren </w:t>
      </w:r>
      <w:proofErr w:type="spellStart"/>
      <w:r w:rsidRPr="0099686A">
        <w:rPr>
          <w:rFonts w:ascii="Times New Roman" w:hAnsi="Times New Roman" w:cs="Times New Roman"/>
          <w:sz w:val="20"/>
          <w:szCs w:val="20"/>
        </w:rPr>
        <w:t>onbeş</w:t>
      </w:r>
      <w:proofErr w:type="spellEnd"/>
      <w:r w:rsidRPr="0099686A">
        <w:rPr>
          <w:rFonts w:ascii="Times New Roman" w:hAnsi="Times New Roman" w:cs="Times New Roman"/>
          <w:sz w:val="20"/>
          <w:szCs w:val="20"/>
        </w:rPr>
        <w:t xml:space="preserve"> gün süresince herhangi bir işleme gerek kalmaksızın ve prim ödenmeksizin yeni işleten için de geçerlidir.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(2) İşleten, sahip olduğu yeni araca ilişkin bilgileri sigorta şirketine bildirir. İşletenin sahip olduğu hasarsızlık indirim hakkı aynı türdeki araçlar için devam eder. İşletenin farklı türde araç edinmesi halinde prim basamağı 5 inci maddenin ikinci fıkrasına göre belirlenir. Hakkında prim artırımı uygulanan işleten için düzenlenecek yeni sözleşmede prim basamağı kaldığı yerden devam eder.”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lastRenderedPageBreak/>
        <w:t xml:space="preserve">MADDE 8 – </w:t>
      </w:r>
      <w:r w:rsidRPr="0099686A">
        <w:rPr>
          <w:rFonts w:ascii="Times New Roman" w:hAnsi="Times New Roman" w:cs="Times New Roman"/>
          <w:sz w:val="20"/>
          <w:szCs w:val="20"/>
        </w:rPr>
        <w:t>Aynı Yönetmeliğin 13 üncü maddesinin ikinci, üçüncü ve dördüncü fıkraları yürürlükten kaldırılmıştır.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MADDE 9 –</w:t>
      </w:r>
      <w:r w:rsidRPr="0099686A">
        <w:rPr>
          <w:rFonts w:ascii="Times New Roman" w:hAnsi="Times New Roman" w:cs="Times New Roman"/>
          <w:sz w:val="20"/>
          <w:szCs w:val="20"/>
        </w:rPr>
        <w:t xml:space="preserve"> Aynı Yönetmeliğin 15 inci maddesi aşağıdaki şekilde değiştirilmiştir.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“MADDE 15 –</w:t>
      </w:r>
      <w:r w:rsidRPr="0099686A">
        <w:rPr>
          <w:rFonts w:ascii="Times New Roman" w:hAnsi="Times New Roman" w:cs="Times New Roman"/>
          <w:sz w:val="20"/>
          <w:szCs w:val="20"/>
        </w:rPr>
        <w:t xml:space="preserve"> (1) Şirket tarifeleri hakkında şirket yetkili aktüeri tarafından hazırlanacak rapor denetime hazır olacak şekilde şirket merkezinde saklanır. Tarifelere ilişkin özet gerekçeler şirketlerce tarifelerle beraber </w:t>
      </w:r>
      <w:proofErr w:type="spellStart"/>
      <w:r w:rsidRPr="0099686A">
        <w:rPr>
          <w:rFonts w:ascii="Times New Roman" w:hAnsi="Times New Roman" w:cs="Times New Roman"/>
          <w:sz w:val="20"/>
          <w:szCs w:val="20"/>
        </w:rPr>
        <w:t>TRAMER’e</w:t>
      </w:r>
      <w:proofErr w:type="spellEnd"/>
      <w:r w:rsidRPr="0099686A">
        <w:rPr>
          <w:rFonts w:ascii="Times New Roman" w:hAnsi="Times New Roman" w:cs="Times New Roman"/>
          <w:sz w:val="20"/>
          <w:szCs w:val="20"/>
        </w:rPr>
        <w:t xml:space="preserve"> iletilir.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xml:space="preserve">(2) Sigorta poliçelerinin TRAMER veri tabanı üzerinden düzenlenmesi zorunludur. TRAMER, şirketlerce 5 inci ve 7 </w:t>
      </w:r>
      <w:proofErr w:type="spellStart"/>
      <w:r w:rsidRPr="0099686A">
        <w:rPr>
          <w:rFonts w:ascii="Times New Roman" w:hAnsi="Times New Roman" w:cs="Times New Roman"/>
          <w:sz w:val="20"/>
          <w:szCs w:val="20"/>
        </w:rPr>
        <w:t>nci</w:t>
      </w:r>
      <w:proofErr w:type="spellEnd"/>
      <w:r w:rsidRPr="0099686A">
        <w:rPr>
          <w:rFonts w:ascii="Times New Roman" w:hAnsi="Times New Roman" w:cs="Times New Roman"/>
          <w:sz w:val="20"/>
          <w:szCs w:val="20"/>
        </w:rPr>
        <w:t xml:space="preserve"> maddelerde hükme bağlanan esaslara uygun işlem tesis edilip edilmediğini kontrol eder.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(3) Birlik, Müsteşarlığın belirlediği esaslar çerçevesinde bağlayıcı olmamak kaydıyla Trafik Sigortası Rehber Tarifesi hazırlayabilir. Bu tarife, Birlik internet sitesinde yayınlanır.”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 xml:space="preserve">MADDE 10 – </w:t>
      </w:r>
      <w:r w:rsidRPr="0099686A">
        <w:rPr>
          <w:rFonts w:ascii="Times New Roman" w:hAnsi="Times New Roman" w:cs="Times New Roman"/>
          <w:sz w:val="20"/>
          <w:szCs w:val="20"/>
        </w:rPr>
        <w:t xml:space="preserve">Aynı Yönetmeliğin 16 </w:t>
      </w:r>
      <w:proofErr w:type="spellStart"/>
      <w:r w:rsidRPr="0099686A">
        <w:rPr>
          <w:rFonts w:ascii="Times New Roman" w:hAnsi="Times New Roman" w:cs="Times New Roman"/>
          <w:sz w:val="20"/>
          <w:szCs w:val="20"/>
        </w:rPr>
        <w:t>ncı</w:t>
      </w:r>
      <w:proofErr w:type="spellEnd"/>
      <w:r w:rsidRPr="0099686A">
        <w:rPr>
          <w:rFonts w:ascii="Times New Roman" w:hAnsi="Times New Roman" w:cs="Times New Roman"/>
          <w:sz w:val="20"/>
          <w:szCs w:val="20"/>
        </w:rPr>
        <w:t xml:space="preserve"> maddesinin birinci fıkrası aşağıdaki şekilde değiştirilmiştir.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“(1) Müsteşarlık, trafik sigortası prim tutarlarının; sigorta şirketlerinin mali bünyelerinin güçlendirilmesi, sektörde haksız rekabetin engellenmesi ve sigorta şirketlerinin sigorta yapmaktan kaçınmasının önlenmesi amaçlarıyla sigortacılık esasları çerçevesinde değiştirilmesini isteyebilir.”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MADDE 11 –</w:t>
      </w:r>
      <w:r w:rsidRPr="0099686A">
        <w:rPr>
          <w:rFonts w:ascii="Times New Roman" w:hAnsi="Times New Roman" w:cs="Times New Roman"/>
          <w:sz w:val="20"/>
          <w:szCs w:val="20"/>
        </w:rPr>
        <w:t xml:space="preserve"> Aynı Yönetmeliğin 17 </w:t>
      </w:r>
      <w:proofErr w:type="spellStart"/>
      <w:r w:rsidRPr="0099686A">
        <w:rPr>
          <w:rFonts w:ascii="Times New Roman" w:hAnsi="Times New Roman" w:cs="Times New Roman"/>
          <w:sz w:val="20"/>
          <w:szCs w:val="20"/>
        </w:rPr>
        <w:t>nci</w:t>
      </w:r>
      <w:proofErr w:type="spellEnd"/>
      <w:r w:rsidRPr="0099686A">
        <w:rPr>
          <w:rFonts w:ascii="Times New Roman" w:hAnsi="Times New Roman" w:cs="Times New Roman"/>
          <w:sz w:val="20"/>
          <w:szCs w:val="20"/>
        </w:rPr>
        <w:t xml:space="preserve"> maddesi yürürlükten kaldırılmıştır.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t>MADDE 12 –</w:t>
      </w:r>
      <w:r w:rsidRPr="0099686A">
        <w:rPr>
          <w:rFonts w:ascii="Times New Roman" w:hAnsi="Times New Roman" w:cs="Times New Roman"/>
          <w:sz w:val="20"/>
          <w:szCs w:val="20"/>
        </w:rPr>
        <w:t xml:space="preserve"> Aynı Yönetmeliğin 23 üncü maddesine aşağıdaki fıkra eklenmiştir.</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“(2) Sigorta şirketleri, trafik sigortasına ilişkin olarak resmi internet sitelerinde geçerli sigorta tarifeleri kapsamında prim sorgulama ekranı tahsis ederler. Bu sorgulama ekranı prim sorgulaması yapmak isteyen kişiye sigorta primi hakkında açıklayıcı bilgi sunmak zorundadır. Kişilerin trafik sigortası ile ilgili verilere erişimi ile bu maddenin uygulanmasına ilişkin usul ve esaslar Müsteşarlıkça belirlenir.”</w:t>
      </w:r>
    </w:p>
    <w:p w:rsidR="0099686A" w:rsidRPr="0099686A" w:rsidRDefault="0099686A" w:rsidP="0099686A">
      <w:pPr>
        <w:pStyle w:val="NormalWeb"/>
        <w:rPr>
          <w:sz w:val="20"/>
          <w:szCs w:val="20"/>
        </w:rPr>
      </w:pPr>
      <w:r w:rsidRPr="0099686A">
        <w:rPr>
          <w:rStyle w:val="Gl"/>
          <w:sz w:val="20"/>
          <w:szCs w:val="20"/>
        </w:rPr>
        <w:t xml:space="preserve">MADDE 13 – </w:t>
      </w:r>
      <w:r w:rsidRPr="0099686A">
        <w:rPr>
          <w:sz w:val="20"/>
          <w:szCs w:val="20"/>
        </w:rPr>
        <w:t xml:space="preserve">Aynı Yönetmeliğin 26 </w:t>
      </w:r>
      <w:proofErr w:type="spellStart"/>
      <w:r w:rsidRPr="0099686A">
        <w:rPr>
          <w:sz w:val="20"/>
          <w:szCs w:val="20"/>
        </w:rPr>
        <w:t>ncı</w:t>
      </w:r>
      <w:proofErr w:type="spellEnd"/>
      <w:r w:rsidRPr="0099686A">
        <w:rPr>
          <w:sz w:val="20"/>
          <w:szCs w:val="20"/>
        </w:rPr>
        <w:t xml:space="preserve"> maddesi yürürlükten kaldırılmıştır.</w:t>
      </w:r>
    </w:p>
    <w:p w:rsidR="0099686A" w:rsidRPr="0099686A" w:rsidRDefault="0099686A" w:rsidP="0099686A">
      <w:pPr>
        <w:pStyle w:val="NormalWeb"/>
        <w:rPr>
          <w:sz w:val="20"/>
          <w:szCs w:val="20"/>
        </w:rPr>
      </w:pPr>
      <w:r w:rsidRPr="0099686A">
        <w:rPr>
          <w:rStyle w:val="Gl"/>
          <w:sz w:val="20"/>
          <w:szCs w:val="20"/>
        </w:rPr>
        <w:t xml:space="preserve">MADDE 14 – </w:t>
      </w:r>
      <w:r w:rsidRPr="0099686A">
        <w:rPr>
          <w:sz w:val="20"/>
          <w:szCs w:val="20"/>
        </w:rPr>
        <w:t>Aynı Yönetmeliğin 28 inci maddesi yürürlükten kaldırılmıştır.</w:t>
      </w:r>
    </w:p>
    <w:p w:rsidR="0099686A" w:rsidRPr="0099686A" w:rsidRDefault="0099686A" w:rsidP="0099686A">
      <w:pPr>
        <w:pStyle w:val="NormalWeb"/>
        <w:rPr>
          <w:sz w:val="20"/>
          <w:szCs w:val="20"/>
        </w:rPr>
      </w:pPr>
      <w:r w:rsidRPr="0099686A">
        <w:rPr>
          <w:rStyle w:val="Gl"/>
          <w:sz w:val="20"/>
          <w:szCs w:val="20"/>
        </w:rPr>
        <w:t xml:space="preserve">MADDE 15 – </w:t>
      </w:r>
      <w:r w:rsidRPr="0099686A">
        <w:rPr>
          <w:sz w:val="20"/>
          <w:szCs w:val="20"/>
        </w:rPr>
        <w:t>Aynı Yönetmeliğe aşağıdaki geçici madde eklenmiştir.</w:t>
      </w:r>
    </w:p>
    <w:p w:rsidR="0099686A" w:rsidRPr="0099686A" w:rsidRDefault="0099686A" w:rsidP="0099686A">
      <w:pPr>
        <w:pStyle w:val="NormalWeb"/>
        <w:rPr>
          <w:sz w:val="20"/>
          <w:szCs w:val="20"/>
        </w:rPr>
      </w:pPr>
      <w:r w:rsidRPr="0099686A">
        <w:rPr>
          <w:rStyle w:val="Gl"/>
          <w:sz w:val="20"/>
          <w:szCs w:val="20"/>
        </w:rPr>
        <w:t>“Sigorta primlerinin değiştirilme süresi</w:t>
      </w:r>
    </w:p>
    <w:p w:rsidR="0099686A" w:rsidRPr="0099686A" w:rsidRDefault="0099686A" w:rsidP="0099686A">
      <w:pPr>
        <w:jc w:val="both"/>
        <w:rPr>
          <w:rFonts w:ascii="Times New Roman" w:hAnsi="Times New Roman" w:cs="Times New Roman"/>
          <w:sz w:val="20"/>
          <w:szCs w:val="20"/>
        </w:rPr>
      </w:pPr>
      <w:r w:rsidRPr="0099686A">
        <w:rPr>
          <w:rStyle w:val="Gl"/>
          <w:rFonts w:ascii="Times New Roman" w:hAnsi="Times New Roman" w:cs="Times New Roman"/>
          <w:sz w:val="20"/>
          <w:szCs w:val="20"/>
        </w:rPr>
        <w:lastRenderedPageBreak/>
        <w:t>GEÇİCİ MADDE 6 –</w:t>
      </w:r>
      <w:r w:rsidRPr="0099686A">
        <w:rPr>
          <w:rFonts w:ascii="Times New Roman" w:hAnsi="Times New Roman" w:cs="Times New Roman"/>
          <w:sz w:val="20"/>
          <w:szCs w:val="20"/>
        </w:rPr>
        <w:t xml:space="preserve"> (1) 4 üncü maddenin ikinci fıkrasında belirtilen sigorta şirketlerinin tespit ettikleri primleri değiştiremeyeceklerine yönelik 6 aylık süre </w:t>
      </w:r>
      <w:proofErr w:type="gramStart"/>
      <w:r w:rsidRPr="0099686A">
        <w:rPr>
          <w:rFonts w:ascii="Times New Roman" w:hAnsi="Times New Roman" w:cs="Times New Roman"/>
          <w:sz w:val="20"/>
          <w:szCs w:val="20"/>
        </w:rPr>
        <w:t>1/1/2014</w:t>
      </w:r>
      <w:proofErr w:type="gramEnd"/>
      <w:r w:rsidRPr="0099686A">
        <w:rPr>
          <w:rFonts w:ascii="Times New Roman" w:hAnsi="Times New Roman" w:cs="Times New Roman"/>
          <w:sz w:val="20"/>
          <w:szCs w:val="20"/>
        </w:rPr>
        <w:t xml:space="preserve"> tarihine kadar 1 ay olarak uygulanır.”</w:t>
      </w:r>
    </w:p>
    <w:p w:rsidR="0099686A" w:rsidRPr="0099686A" w:rsidRDefault="0099686A" w:rsidP="0099686A">
      <w:pPr>
        <w:pStyle w:val="NormalWeb"/>
        <w:rPr>
          <w:sz w:val="20"/>
          <w:szCs w:val="20"/>
        </w:rPr>
      </w:pPr>
      <w:r w:rsidRPr="0099686A">
        <w:rPr>
          <w:rStyle w:val="Gl"/>
          <w:sz w:val="20"/>
          <w:szCs w:val="20"/>
        </w:rPr>
        <w:t>MADDE 16 –</w:t>
      </w:r>
      <w:r w:rsidRPr="0099686A">
        <w:rPr>
          <w:sz w:val="20"/>
          <w:szCs w:val="20"/>
        </w:rPr>
        <w:t xml:space="preserve"> Bu Yönetmeliğin;</w:t>
      </w:r>
    </w:p>
    <w:p w:rsidR="0099686A" w:rsidRPr="0099686A" w:rsidRDefault="0099686A" w:rsidP="0099686A">
      <w:pPr>
        <w:pStyle w:val="NormalWeb"/>
        <w:rPr>
          <w:sz w:val="20"/>
          <w:szCs w:val="20"/>
        </w:rPr>
      </w:pPr>
      <w:r w:rsidRPr="0099686A">
        <w:rPr>
          <w:sz w:val="20"/>
          <w:szCs w:val="20"/>
        </w:rPr>
        <w:t xml:space="preserve">a) 3 üncü maddesinde yer alan dördüncü fıkra ile 12 </w:t>
      </w:r>
      <w:proofErr w:type="spellStart"/>
      <w:r w:rsidRPr="0099686A">
        <w:rPr>
          <w:sz w:val="20"/>
          <w:szCs w:val="20"/>
        </w:rPr>
        <w:t>nci</w:t>
      </w:r>
      <w:proofErr w:type="spellEnd"/>
      <w:r w:rsidRPr="0099686A">
        <w:rPr>
          <w:sz w:val="20"/>
          <w:szCs w:val="20"/>
        </w:rPr>
        <w:t xml:space="preserve"> maddesi </w:t>
      </w:r>
      <w:proofErr w:type="gramStart"/>
      <w:r w:rsidRPr="0099686A">
        <w:rPr>
          <w:sz w:val="20"/>
          <w:szCs w:val="20"/>
        </w:rPr>
        <w:t>1/10/2013</w:t>
      </w:r>
      <w:proofErr w:type="gramEnd"/>
      <w:r w:rsidRPr="0099686A">
        <w:rPr>
          <w:sz w:val="20"/>
          <w:szCs w:val="20"/>
        </w:rPr>
        <w:t xml:space="preserve"> tarihinde,</w:t>
      </w:r>
    </w:p>
    <w:p w:rsidR="0099686A" w:rsidRPr="0099686A" w:rsidRDefault="0099686A" w:rsidP="0099686A">
      <w:pPr>
        <w:jc w:val="both"/>
        <w:rPr>
          <w:rFonts w:ascii="Times New Roman" w:hAnsi="Times New Roman" w:cs="Times New Roman"/>
          <w:sz w:val="20"/>
          <w:szCs w:val="20"/>
        </w:rPr>
      </w:pPr>
      <w:r w:rsidRPr="0099686A">
        <w:rPr>
          <w:rFonts w:ascii="Times New Roman" w:hAnsi="Times New Roman" w:cs="Times New Roman"/>
          <w:sz w:val="20"/>
          <w:szCs w:val="20"/>
        </w:rPr>
        <w:t xml:space="preserve">b) 1 inci, 4 üncü, 5 inci, 6 </w:t>
      </w:r>
      <w:proofErr w:type="spellStart"/>
      <w:r w:rsidRPr="0099686A">
        <w:rPr>
          <w:rFonts w:ascii="Times New Roman" w:hAnsi="Times New Roman" w:cs="Times New Roman"/>
          <w:sz w:val="20"/>
          <w:szCs w:val="20"/>
        </w:rPr>
        <w:t>ncı</w:t>
      </w:r>
      <w:proofErr w:type="spellEnd"/>
      <w:r w:rsidRPr="0099686A">
        <w:rPr>
          <w:rFonts w:ascii="Times New Roman" w:hAnsi="Times New Roman" w:cs="Times New Roman"/>
          <w:sz w:val="20"/>
          <w:szCs w:val="20"/>
        </w:rPr>
        <w:t xml:space="preserve">, 8 inci, 9 uncu, 10 uncu, 11 inci, 13 üncü, 14 üncü maddeleri ve 3 üncü maddesinde yer alan birinci ve ikinci fıkra </w:t>
      </w:r>
      <w:proofErr w:type="gramStart"/>
      <w:r w:rsidRPr="0099686A">
        <w:rPr>
          <w:rFonts w:ascii="Times New Roman" w:hAnsi="Times New Roman" w:cs="Times New Roman"/>
          <w:sz w:val="20"/>
          <w:szCs w:val="20"/>
        </w:rPr>
        <w:t>1/1/2014</w:t>
      </w:r>
      <w:proofErr w:type="gramEnd"/>
      <w:r w:rsidRPr="0099686A">
        <w:rPr>
          <w:rFonts w:ascii="Times New Roman" w:hAnsi="Times New Roman" w:cs="Times New Roman"/>
          <w:sz w:val="20"/>
          <w:szCs w:val="20"/>
        </w:rPr>
        <w:t xml:space="preserve"> tarihinde,</w:t>
      </w:r>
    </w:p>
    <w:p w:rsidR="0099686A" w:rsidRPr="0099686A" w:rsidRDefault="0099686A" w:rsidP="0099686A">
      <w:pPr>
        <w:pStyle w:val="NormalWeb"/>
        <w:rPr>
          <w:sz w:val="20"/>
          <w:szCs w:val="20"/>
        </w:rPr>
      </w:pPr>
      <w:r w:rsidRPr="0099686A">
        <w:rPr>
          <w:sz w:val="20"/>
          <w:szCs w:val="20"/>
        </w:rPr>
        <w:t>c) Diğer hükümleri yayımı tarihinde,</w:t>
      </w:r>
    </w:p>
    <w:p w:rsidR="0099686A" w:rsidRPr="0099686A" w:rsidRDefault="0099686A" w:rsidP="0099686A">
      <w:pPr>
        <w:pStyle w:val="NormalWeb"/>
        <w:rPr>
          <w:sz w:val="20"/>
          <w:szCs w:val="20"/>
        </w:rPr>
      </w:pPr>
      <w:proofErr w:type="gramStart"/>
      <w:r w:rsidRPr="0099686A">
        <w:rPr>
          <w:sz w:val="20"/>
          <w:szCs w:val="20"/>
        </w:rPr>
        <w:t>yürürlüğe</w:t>
      </w:r>
      <w:proofErr w:type="gramEnd"/>
      <w:r w:rsidRPr="0099686A">
        <w:rPr>
          <w:sz w:val="20"/>
          <w:szCs w:val="20"/>
        </w:rPr>
        <w:t xml:space="preserve"> girer.</w:t>
      </w:r>
    </w:p>
    <w:p w:rsidR="0099686A" w:rsidRPr="0099686A" w:rsidRDefault="0099686A" w:rsidP="0099686A">
      <w:pPr>
        <w:pStyle w:val="NormalWeb"/>
        <w:rPr>
          <w:sz w:val="20"/>
          <w:szCs w:val="20"/>
        </w:rPr>
      </w:pPr>
      <w:r w:rsidRPr="0099686A">
        <w:rPr>
          <w:rStyle w:val="Gl"/>
          <w:sz w:val="20"/>
          <w:szCs w:val="20"/>
        </w:rPr>
        <w:t>MADDE 17 –</w:t>
      </w:r>
      <w:r w:rsidRPr="0099686A">
        <w:rPr>
          <w:sz w:val="20"/>
          <w:szCs w:val="20"/>
        </w:rPr>
        <w:t xml:space="preserve"> Bu Yönetmelik hükümlerini Hazine Müsteşarlığının bağlı olduğu Bakan yürütür.</w:t>
      </w:r>
    </w:p>
    <w:p w:rsidR="0099686A" w:rsidRPr="0099686A" w:rsidRDefault="0099686A" w:rsidP="0099686A">
      <w:pPr>
        <w:pStyle w:val="NormalWeb"/>
        <w:jc w:val="center"/>
        <w:rPr>
          <w:sz w:val="20"/>
          <w:szCs w:val="20"/>
        </w:rPr>
      </w:pPr>
      <w:r w:rsidRPr="0099686A">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99686A" w:rsidRPr="0099686A">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rStyle w:val="Gl"/>
                <w:sz w:val="20"/>
                <w:szCs w:val="20"/>
              </w:rPr>
              <w:t>Yönetmeliğin Yayımlandığı Resmî Gazete'nin</w:t>
            </w:r>
          </w:p>
        </w:tc>
      </w:tr>
      <w:tr w:rsidR="0099686A" w:rsidRPr="0099686A">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rStyle w:val="Gl"/>
                <w:sz w:val="20"/>
                <w:szCs w:val="20"/>
              </w:rPr>
              <w:t>Sayısı</w:t>
            </w:r>
          </w:p>
        </w:tc>
      </w:tr>
      <w:tr w:rsidR="0099686A" w:rsidRPr="0099686A">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proofErr w:type="gramStart"/>
            <w:r w:rsidRPr="0099686A">
              <w:rPr>
                <w:sz w:val="20"/>
                <w:szCs w:val="20"/>
              </w:rPr>
              <w:t>14/7/2007</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sz w:val="20"/>
                <w:szCs w:val="20"/>
              </w:rPr>
              <w:t>26582</w:t>
            </w:r>
          </w:p>
        </w:tc>
      </w:tr>
      <w:tr w:rsidR="0099686A" w:rsidRPr="0099686A">
        <w:trPr>
          <w:trHeight w:val="375"/>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rStyle w:val="Gl"/>
                <w:sz w:val="20"/>
                <w:szCs w:val="20"/>
              </w:rPr>
              <w:t>Yönetmelikte Değişiklik Yapan Yönetmeliklerin Yayımlandığı Resmî Gazete'nin</w:t>
            </w:r>
          </w:p>
        </w:tc>
      </w:tr>
      <w:tr w:rsidR="0099686A" w:rsidRPr="0099686A">
        <w:trPr>
          <w:trHeight w:val="375"/>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rStyle w:val="Gl"/>
                <w:sz w:val="20"/>
                <w:szCs w:val="20"/>
              </w:rPr>
              <w:t>Sayısı</w:t>
            </w:r>
          </w:p>
        </w:tc>
      </w:tr>
      <w:tr w:rsidR="0099686A" w:rsidRPr="0099686A">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proofErr w:type="gramStart"/>
            <w:r w:rsidRPr="0099686A">
              <w:rPr>
                <w:sz w:val="20"/>
                <w:szCs w:val="20"/>
              </w:rPr>
              <w:t>6/2/2008</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r w:rsidRPr="0099686A">
              <w:rPr>
                <w:sz w:val="20"/>
                <w:szCs w:val="20"/>
              </w:rPr>
              <w:t>26779</w:t>
            </w:r>
          </w:p>
        </w:tc>
      </w:tr>
      <w:tr w:rsidR="0099686A" w:rsidRPr="0099686A">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sz w:val="20"/>
                <w:szCs w:val="20"/>
                <w:lang w:val="en-US"/>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proofErr w:type="gramStart"/>
            <w:r w:rsidRPr="0099686A">
              <w:rPr>
                <w:sz w:val="20"/>
                <w:szCs w:val="20"/>
              </w:rPr>
              <w:t>19/6/2009</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r w:rsidRPr="0099686A">
              <w:rPr>
                <w:sz w:val="20"/>
                <w:szCs w:val="20"/>
              </w:rPr>
              <w:t>27263</w:t>
            </w:r>
          </w:p>
        </w:tc>
      </w:tr>
      <w:tr w:rsidR="0099686A" w:rsidRPr="0099686A">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sz w:val="20"/>
                <w:szCs w:val="20"/>
                <w:lang w:val="en-US"/>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proofErr w:type="gramStart"/>
            <w:r w:rsidRPr="0099686A">
              <w:rPr>
                <w:sz w:val="20"/>
                <w:szCs w:val="20"/>
              </w:rPr>
              <w:t>9/12/2009</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r w:rsidRPr="0099686A">
              <w:rPr>
                <w:sz w:val="20"/>
                <w:szCs w:val="20"/>
              </w:rPr>
              <w:t>27427</w:t>
            </w:r>
          </w:p>
        </w:tc>
      </w:tr>
      <w:tr w:rsidR="0099686A" w:rsidRPr="0099686A">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sz w:val="20"/>
                <w:szCs w:val="20"/>
                <w:lang w:val="en-US"/>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proofErr w:type="gramStart"/>
            <w:r w:rsidRPr="0099686A">
              <w:rPr>
                <w:sz w:val="20"/>
                <w:szCs w:val="20"/>
              </w:rPr>
              <w:t>15/9/2011</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r w:rsidRPr="0099686A">
              <w:rPr>
                <w:sz w:val="20"/>
                <w:szCs w:val="20"/>
              </w:rPr>
              <w:t>28055</w:t>
            </w:r>
          </w:p>
        </w:tc>
      </w:tr>
      <w:tr w:rsidR="0099686A" w:rsidRPr="0099686A">
        <w:trPr>
          <w:trHeight w:val="375"/>
          <w:tblCellSpacing w:w="0" w:type="dxa"/>
          <w:jc w:val="center"/>
        </w:trPr>
        <w:tc>
          <w:tcPr>
            <w:tcW w:w="435" w:type="dxa"/>
            <w:tcBorders>
              <w:top w:val="outset" w:sz="6" w:space="0" w:color="auto"/>
              <w:left w:val="outset" w:sz="6" w:space="0" w:color="auto"/>
              <w:bottom w:val="outset" w:sz="6" w:space="0" w:color="auto"/>
              <w:right w:val="outset" w:sz="6" w:space="0" w:color="auto"/>
            </w:tcBorders>
            <w:hideMark/>
          </w:tcPr>
          <w:p w:rsidR="0099686A" w:rsidRPr="0099686A" w:rsidRDefault="0099686A">
            <w:pPr>
              <w:pStyle w:val="NormalWeb"/>
              <w:jc w:val="center"/>
              <w:rPr>
                <w:sz w:val="20"/>
                <w:szCs w:val="20"/>
              </w:rPr>
            </w:pPr>
            <w:r w:rsidRPr="0099686A">
              <w:rPr>
                <w:sz w:val="20"/>
                <w:szCs w:val="20"/>
                <w:lang w:val="en-US"/>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proofErr w:type="gramStart"/>
            <w:r w:rsidRPr="0099686A">
              <w:rPr>
                <w:sz w:val="20"/>
                <w:szCs w:val="20"/>
              </w:rPr>
              <w:t>25/12/2012</w:t>
            </w:r>
            <w:proofErr w:type="gramEnd"/>
          </w:p>
        </w:tc>
        <w:tc>
          <w:tcPr>
            <w:tcW w:w="4245" w:type="dxa"/>
            <w:tcBorders>
              <w:top w:val="outset" w:sz="6" w:space="0" w:color="auto"/>
              <w:left w:val="outset" w:sz="6" w:space="0" w:color="auto"/>
              <w:bottom w:val="outset" w:sz="6" w:space="0" w:color="auto"/>
              <w:right w:val="outset" w:sz="6" w:space="0" w:color="auto"/>
            </w:tcBorders>
            <w:vAlign w:val="center"/>
            <w:hideMark/>
          </w:tcPr>
          <w:p w:rsidR="0099686A" w:rsidRPr="0099686A" w:rsidRDefault="0099686A">
            <w:pPr>
              <w:pStyle w:val="NormalWeb"/>
              <w:jc w:val="center"/>
              <w:rPr>
                <w:sz w:val="20"/>
                <w:szCs w:val="20"/>
              </w:rPr>
            </w:pPr>
            <w:r w:rsidRPr="0099686A">
              <w:rPr>
                <w:sz w:val="20"/>
                <w:szCs w:val="20"/>
              </w:rPr>
              <w:t>28508</w:t>
            </w:r>
          </w:p>
        </w:tc>
      </w:tr>
    </w:tbl>
    <w:p w:rsidR="0099686A" w:rsidRPr="0099686A" w:rsidRDefault="0099686A" w:rsidP="00CE6B7C">
      <w:pPr>
        <w:spacing w:after="0" w:line="280" w:lineRule="atLeast"/>
        <w:jc w:val="both"/>
        <w:rPr>
          <w:rFonts w:ascii="Times New Roman" w:hAnsi="Times New Roman" w:cs="Times New Roman"/>
          <w:sz w:val="20"/>
          <w:szCs w:val="20"/>
        </w:rPr>
      </w:pPr>
    </w:p>
    <w:sectPr w:rsidR="0099686A" w:rsidRPr="0099686A" w:rsidSect="00627628">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74C" w:rsidRDefault="00B9274C" w:rsidP="00CE6B7C">
      <w:pPr>
        <w:spacing w:after="0" w:line="240" w:lineRule="auto"/>
      </w:pPr>
      <w:r>
        <w:separator/>
      </w:r>
    </w:p>
  </w:endnote>
  <w:endnote w:type="continuationSeparator" w:id="0">
    <w:p w:rsidR="00B9274C" w:rsidRDefault="00B9274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52242">
        <w:pPr>
          <w:pStyle w:val="Altbilgi"/>
          <w:jc w:val="center"/>
        </w:pPr>
        <w:fldSimple w:instr=" PAGE   \* MERGEFORMAT ">
          <w:r w:rsidR="0099686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74C" w:rsidRDefault="00B9274C" w:rsidP="00CE6B7C">
      <w:pPr>
        <w:spacing w:after="0" w:line="240" w:lineRule="auto"/>
      </w:pPr>
      <w:r>
        <w:separator/>
      </w:r>
    </w:p>
  </w:footnote>
  <w:footnote w:type="continuationSeparator" w:id="0">
    <w:p w:rsidR="00B9274C" w:rsidRDefault="00B9274C" w:rsidP="00CE6B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E72F9"/>
    <w:rsid w:val="001247BF"/>
    <w:rsid w:val="00152242"/>
    <w:rsid w:val="001917EB"/>
    <w:rsid w:val="002950D7"/>
    <w:rsid w:val="003F0A2F"/>
    <w:rsid w:val="003F0E00"/>
    <w:rsid w:val="00411676"/>
    <w:rsid w:val="00424401"/>
    <w:rsid w:val="00471995"/>
    <w:rsid w:val="004C64B0"/>
    <w:rsid w:val="00627628"/>
    <w:rsid w:val="00630C78"/>
    <w:rsid w:val="0072024B"/>
    <w:rsid w:val="0072766F"/>
    <w:rsid w:val="007420E4"/>
    <w:rsid w:val="007708A4"/>
    <w:rsid w:val="00846A18"/>
    <w:rsid w:val="0085186D"/>
    <w:rsid w:val="00867B1E"/>
    <w:rsid w:val="0087102D"/>
    <w:rsid w:val="008E2DD9"/>
    <w:rsid w:val="008E6D17"/>
    <w:rsid w:val="00951485"/>
    <w:rsid w:val="00980465"/>
    <w:rsid w:val="009857E1"/>
    <w:rsid w:val="0099686A"/>
    <w:rsid w:val="00A35196"/>
    <w:rsid w:val="00AA786A"/>
    <w:rsid w:val="00AC0A86"/>
    <w:rsid w:val="00AF4CAE"/>
    <w:rsid w:val="00B159E5"/>
    <w:rsid w:val="00B9274C"/>
    <w:rsid w:val="00C0738B"/>
    <w:rsid w:val="00C44A38"/>
    <w:rsid w:val="00C86466"/>
    <w:rsid w:val="00CC7F48"/>
    <w:rsid w:val="00CD7106"/>
    <w:rsid w:val="00CE6B7C"/>
    <w:rsid w:val="00D177BA"/>
    <w:rsid w:val="00D32650"/>
    <w:rsid w:val="00D35A33"/>
    <w:rsid w:val="00D41BC0"/>
    <w:rsid w:val="00DF3052"/>
    <w:rsid w:val="00F01301"/>
    <w:rsid w:val="00F83100"/>
    <w:rsid w:val="00FA30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1044</Words>
  <Characters>5951</Characters>
  <Application>Microsoft Office Word</Application>
  <DocSecurity>0</DocSecurity>
  <Lines>49</Lines>
  <Paragraphs>13</Paragraphs>
  <ScaleCrop>false</ScaleCrop>
  <Company>TURMOB</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46</cp:revision>
  <cp:lastPrinted>2013-06-18T05:31:00Z</cp:lastPrinted>
  <dcterms:created xsi:type="dcterms:W3CDTF">2013-06-03T05:31:00Z</dcterms:created>
  <dcterms:modified xsi:type="dcterms:W3CDTF">2013-06-19T05:44:00Z</dcterms:modified>
</cp:coreProperties>
</file>