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893744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893744" w:rsidRDefault="00120B8D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FA30A2" w:rsidRPr="0089374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9374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28683</w:t>
      </w:r>
      <w:proofErr w:type="gramEnd"/>
    </w:p>
    <w:p w:rsidR="003F0E00" w:rsidRDefault="003F0E00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D1E1C" w:rsidRDefault="00BD1E1C" w:rsidP="00BD1E1C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Bilim, Sanayi ve Teknoloji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BD1E1C" w:rsidRDefault="00BD1E1C" w:rsidP="00BD1E1C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BD1E1C" w:rsidRDefault="00BD1E1C" w:rsidP="00BD1E1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TEKNOLOJ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TANITIM VE PAZARLANMASINA</w:t>
      </w:r>
    </w:p>
    <w:p w:rsidR="00BD1E1C" w:rsidRDefault="00BD1E1C" w:rsidP="00BD1E1C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DESTEK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</w:p>
    <w:p w:rsidR="00BD1E1C" w:rsidRDefault="00BD1E1C" w:rsidP="00BD1E1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</w:p>
    <w:p w:rsidR="00BD1E1C" w:rsidRDefault="00BD1E1C" w:rsidP="00BD1E1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sanayinin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pazarlarda rekabet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daha dinamik bir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kavu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temin etmek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ve yenilik projeleri sonucunda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kan teknolojik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 veya </w:t>
      </w:r>
      <w:proofErr w:type="gramStart"/>
      <w:r>
        <w:rPr>
          <w:sz w:val="18"/>
          <w:szCs w:val="18"/>
        </w:rPr>
        <w:t>prototiplerin</w:t>
      </w:r>
      <w:proofErr w:type="gramEnd"/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pazarlanmas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lkemizde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destek verilmesine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kanunla kurulan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 veya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desteklenen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ve yenilik projeleri sonucunda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kan teknolojik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 veya </w:t>
      </w:r>
      <w:proofErr w:type="gramStart"/>
      <w:r>
        <w:rPr>
          <w:sz w:val="18"/>
          <w:szCs w:val="18"/>
        </w:rPr>
        <w:t>prototiplerin</w:t>
      </w:r>
      <w:proofErr w:type="gramEnd"/>
      <w:r>
        <w:rPr>
          <w:sz w:val="18"/>
          <w:szCs w:val="18"/>
        </w:rPr>
        <w:t xml:space="preserve">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pazarlanmas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faaliyetlerinin desteklenmesine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8/6/2011</w:t>
      </w:r>
      <w:proofErr w:type="gramEnd"/>
      <w:r>
        <w:rPr>
          <w:sz w:val="18"/>
          <w:szCs w:val="18"/>
        </w:rPr>
        <w:t xml:space="preserve"> tarihli ve 635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Bilim, Sanayi ve Teknoloji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a)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ve yenilik projeleri: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genel ve teknik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kurum ya da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larca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 ayn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veya nakd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destek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ta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acak fikr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payla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faaliyetlerinin her safhas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belirleyecek mahiyette ve bilimsel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projeyi,</w:t>
      </w:r>
      <w:proofErr w:type="gramEnd"/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Bilim, Sanayi ve Teknoloji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Desteklerden yararlanmak isteyen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ibraz etmek zorunda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 ve belgelerin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format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dosyay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komisyonu: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 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nda;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personellerinden iki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Sanayi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Sanayi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Metroloji ve Standardizasyon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personellerinden birer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asil,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belirlenen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komisyonu,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e-Ticaret: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nlerin, bilgisayar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pazarlanmas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bedel </w:t>
      </w:r>
      <w:proofErr w:type="gramStart"/>
      <w:r>
        <w:rPr>
          <w:sz w:val="18"/>
          <w:szCs w:val="18"/>
        </w:rPr>
        <w:t>tahsilat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Fuar: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ya da hizmetlerin, teknolojik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melerin, bilgi ve yeniliklerin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pazar bulunabilmesi ve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nabilmesi, teknik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gelece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ticari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belirli bir takvime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genellikle de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yerlerde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etkinli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k: Bilim ve Teknoloji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r: Bilim ve Teknoloji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sunulan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ya da </w:t>
      </w:r>
      <w:proofErr w:type="gramStart"/>
      <w:r>
        <w:rPr>
          <w:sz w:val="18"/>
          <w:szCs w:val="18"/>
        </w:rPr>
        <w:t>prototip</w:t>
      </w:r>
      <w:proofErr w:type="gramEnd"/>
      <w:r>
        <w:rPr>
          <w:sz w:val="18"/>
          <w:szCs w:val="18"/>
        </w:rPr>
        <w:t xml:space="preserve"> bilgilerinin,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faaliyetlerin, faaliyetlere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ve zaman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izelgesinin yer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planlanan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faaliyetlerinin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tarihler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rlanacak tahmini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tarihlerini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bedeli: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lecek faaliyetlerin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bir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harcamalara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gelen para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: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ve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firma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zeyinde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yaratan, bir veya birden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iye ait olan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lkemizde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letmeler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yetkilisi: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en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temsile yetkili olan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raporu: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formata uygun olarak desteklenen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tamamlanan her faaliyet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 varsa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yeni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irketler, pazara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erlendirmeler, destek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 gibi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ekinde faaliyete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raporu,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tname: Destek talep eden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hususlar ile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hususlara uyulaca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kabul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belgeyi,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m)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destek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desteklenmesi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faaliyetleri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tirecek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akdedilen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meyi,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BD1E1C" w:rsidRDefault="00BD1E1C" w:rsidP="00BD1E1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D1E1C" w:rsidRDefault="00BD1E1C" w:rsidP="00BD1E1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 ve Tarihi, Destek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Giderler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vuru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ekli ve tarihi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yetkilisi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ndan;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kanunla kurulan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flar veya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desteklenen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ve yenilik projeleri sonucu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kan teknolojik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veya </w:t>
      </w:r>
      <w:proofErr w:type="gramStart"/>
      <w:r>
        <w:rPr>
          <w:sz w:val="18"/>
          <w:szCs w:val="18"/>
        </w:rPr>
        <w:t>prototipin</w:t>
      </w:r>
      <w:proofErr w:type="gramEnd"/>
      <w:r>
        <w:rPr>
          <w:sz w:val="18"/>
          <w:szCs w:val="18"/>
        </w:rPr>
        <w:t xml:space="preserve">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pazarlanmas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desteklenmesine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istenen belgeleri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layarak,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elektronik ortamda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yetkilisi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slak imzal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CD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kaydedilmi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 kopyas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elden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teslim edilir.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internet sitesi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turulacak uygulama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de elektronik ortamda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Teknolojik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bir veya birden fazla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kabul edilebilir.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tarihleri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internet sitesinden ilan edilir.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Destek tutar</w:t>
      </w:r>
      <w:r>
        <w:rPr>
          <w:b/>
          <w:sz w:val="18"/>
          <w:szCs w:val="18"/>
        </w:rPr>
        <w:t>ı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desteklenmesi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talep edilen destek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faaliyetlerine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bedelinin 50.000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 kadar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indeki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faaliyetlerine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bedelinin ise 25.000 TL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 kadar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faaliyet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hibe olarak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Desteklenen giderler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gider kalemleri desteklenir: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veya </w:t>
      </w:r>
      <w:proofErr w:type="gramStart"/>
      <w:r>
        <w:rPr>
          <w:sz w:val="18"/>
          <w:szCs w:val="18"/>
        </w:rPr>
        <w:t>prototipin</w:t>
      </w:r>
      <w:proofErr w:type="gramEnd"/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pazarlanmas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rlatt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bro</w:t>
      </w:r>
      <w:r>
        <w:rPr>
          <w:sz w:val="18"/>
          <w:szCs w:val="18"/>
        </w:rPr>
        <w:t>şü</w:t>
      </w:r>
      <w:r>
        <w:rPr>
          <w:sz w:val="18"/>
          <w:szCs w:val="18"/>
        </w:rPr>
        <w:t xml:space="preserve">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katalo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</w:t>
      </w:r>
      <w:proofErr w:type="spellEnd"/>
      <w:r>
        <w:rPr>
          <w:sz w:val="18"/>
          <w:szCs w:val="18"/>
        </w:rPr>
        <w:t>, etiket bask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bandroll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elektronik depolama 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Fuarlara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mda; </w:t>
      </w:r>
      <w:proofErr w:type="spellStart"/>
      <w:r>
        <w:rPr>
          <w:sz w:val="18"/>
          <w:szCs w:val="18"/>
        </w:rPr>
        <w:t>stand</w:t>
      </w:r>
      <w:proofErr w:type="spellEnd"/>
      <w:r>
        <w:rPr>
          <w:sz w:val="18"/>
          <w:szCs w:val="18"/>
        </w:rPr>
        <w:t xml:space="preserve"> kiras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stand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standart </w:t>
      </w:r>
      <w:proofErr w:type="spellStart"/>
      <w:r>
        <w:rPr>
          <w:sz w:val="18"/>
          <w:szCs w:val="18"/>
        </w:rPr>
        <w:t>stand</w:t>
      </w:r>
      <w:proofErr w:type="spellEnd"/>
      <w:r>
        <w:rPr>
          <w:sz w:val="18"/>
          <w:szCs w:val="18"/>
        </w:rPr>
        <w:t xml:space="preserve"> dekorasyonu, nakliye ve depolama giderleri ile nakliye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fuarlarda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giderleri,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Elektronik ticaret (e-ticaret) sitelerine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 giderleri,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medyada teknolojik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ya da </w:t>
      </w:r>
      <w:proofErr w:type="gramStart"/>
      <w:r>
        <w:rPr>
          <w:sz w:val="18"/>
          <w:szCs w:val="18"/>
        </w:rPr>
        <w:t>prototipin</w:t>
      </w:r>
      <w:proofErr w:type="gramEnd"/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giderler,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faaliyetleri ile ilgili seyahatlerde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un en fazla iki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k;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150 TL,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ise 150 ABD Dolar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yol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en fazla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konaklama giderleri,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gidilen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 veya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gidilen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lkeye gidi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maliyetini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lan; otob</w:t>
      </w:r>
      <w:r>
        <w:rPr>
          <w:sz w:val="18"/>
          <w:szCs w:val="18"/>
        </w:rPr>
        <w:t>ü</w:t>
      </w:r>
      <w:r>
        <w:rPr>
          <w:sz w:val="18"/>
          <w:szCs w:val="18"/>
        </w:rPr>
        <w:t>s bileti, ekonomi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bileti, tren ve ekonomi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gemi bileti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bir veya birden fazla kalemde yer alan harcamalar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bedeli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toplu olarak yer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bahsedilen maddeler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harcama kalemleri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Desteklenmeyen giderler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konferans, </w:t>
      </w:r>
      <w:proofErr w:type="spellStart"/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tay</w:t>
      </w:r>
      <w:proofErr w:type="spellEnd"/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sempozyum</w:t>
      </w:r>
      <w:proofErr w:type="gramEnd"/>
      <w:r>
        <w:rPr>
          <w:sz w:val="18"/>
          <w:szCs w:val="18"/>
        </w:rPr>
        <w:t>, panel gibi organizasyonlara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desteklenmez.</w:t>
      </w:r>
    </w:p>
    <w:p w:rsidR="00BD1E1C" w:rsidRDefault="00BD1E1C" w:rsidP="00BD1E1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D1E1C" w:rsidRDefault="00BD1E1C" w:rsidP="00BD1E1C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Destek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Destek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nceleme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Destek say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Desteklenen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her bir Ar-</w:t>
      </w:r>
      <w:proofErr w:type="spellStart"/>
      <w:r>
        <w:rPr>
          <w:sz w:val="18"/>
          <w:szCs w:val="18"/>
        </w:rPr>
        <w:t>Ge</w:t>
      </w:r>
      <w:proofErr w:type="spellEnd"/>
      <w:r>
        <w:rPr>
          <w:sz w:val="18"/>
          <w:szCs w:val="18"/>
        </w:rPr>
        <w:t xml:space="preserve"> ve yenilik projesi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kan teknolojik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veya </w:t>
      </w:r>
      <w:proofErr w:type="gramStart"/>
      <w:r>
        <w:rPr>
          <w:sz w:val="18"/>
          <w:szCs w:val="18"/>
        </w:rPr>
        <w:t>prototipin</w:t>
      </w:r>
      <w:proofErr w:type="gramEnd"/>
      <w:r>
        <w:rPr>
          <w:sz w:val="18"/>
          <w:szCs w:val="18"/>
        </w:rPr>
        <w:t xml:space="preserve">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pazarlanmas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destekten bir defaya mahsus faaliyet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Destek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Destek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ile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imza tarihinden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layarak en fazla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 inceleme ve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erlendirme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incelemede eksiklik bulunan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vurular, resmi tatil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eksiklikleri tamamlanmayan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Eksiklik bulunmayan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komisyonunda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vurular, eksikliklerin giderilmesinden sonra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otuz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 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fat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komisyonu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r, asil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durumlarda yedek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(6) Desteklenecek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vurular,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ndeki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belirlenir.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(7)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desteklenmesinde;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tamamlanan, tamamlanm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hali ile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yaratan veya yaratma potansiyeli bulunan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proofErr w:type="gramStart"/>
      <w:r>
        <w:rPr>
          <w:sz w:val="18"/>
          <w:szCs w:val="18"/>
        </w:rPr>
        <w:t>kriterlere</w:t>
      </w:r>
      <w:proofErr w:type="gramEnd"/>
      <w:r>
        <w:rPr>
          <w:sz w:val="18"/>
          <w:szCs w:val="18"/>
        </w:rPr>
        <w:t xml:space="preserve"> uygun olan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komisyonu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usul ve esaslara uygun olarak desteklenecek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Desteklenmesi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internet sitesinde ilan edilir.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(10)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desteklenmesi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lmeyen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ile desteklenecek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internet sitesinde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itibaren otuz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belirtilerek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bildirilir.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me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desteklenmesi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mede;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Taraflara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Desteklenecek faaliyetleri,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Destek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gider kalemleri,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Faaliyetin toplam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iptal edilmesi veya giderin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tutardan eksik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harcanmayan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geri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hususlar,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idari ve mali konulardaki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hususlar,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ekinde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faaliyetler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istenecek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belgeler,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yer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destek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mesinde belirtilenlerin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herhangi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melere,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bulunmayan hallerde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mlerinin uygulanaca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D1E1C" w:rsidRDefault="00BD1E1C" w:rsidP="00BD1E1C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demeler,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Talepleri,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Raporu ve Harcama Belgeleri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demeler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inden yararlanacak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esine konulacak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Destek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demesi,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mede belirtilen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cinsinden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yetkilisi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faaliyeti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tirilmeden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talep edilmesi halinde,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bir bankadan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kadar ve geri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resini kapsayacak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teminat mektubu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 xml:space="preserve">a verilmek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mede yer alan tutarlar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Desteklenen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demelerde;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viz cinsinden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giderlerin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giderin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tarihteki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viz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kuru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hesaplan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demeler,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bankalardan birinde desteklenen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bulunan ve hesap bilgileri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 belirtilen banka hesap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iklik talepleri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yetkilisi,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mede yer alan hususlar ile ilgili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taleplerini faaliyetin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 tarihinden en az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eli olarak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talepleri,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komisyonu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lerek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tarihinden itibaren resmi tatil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tutulmak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15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Deprem, sel, 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rga, genel grev ve isyan gibi sosyal olaylar, seferberlik, sava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hali, yayg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bula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ekonomik krizler gibi sebeplerle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veya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 faaliyetin iptal edilmesi, ertelenmesi veya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pazarlamas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ya da </w:t>
      </w:r>
      <w:proofErr w:type="gramStart"/>
      <w:r>
        <w:rPr>
          <w:sz w:val="18"/>
          <w:szCs w:val="18"/>
        </w:rPr>
        <w:t>prototipin</w:t>
      </w:r>
      <w:proofErr w:type="gramEnd"/>
      <w:r>
        <w:rPr>
          <w:sz w:val="18"/>
          <w:szCs w:val="18"/>
        </w:rPr>
        <w:t xml:space="preserve"> zarar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hallerinde;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temsilcisi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bildirimde bulunulur. Bu durumda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ertelenebilir ya da iptal edilebilir.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Sonu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raporu ve harcama belgeleri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faaliyetlerinin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raporunda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etkisini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olarak; varsa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yeni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tesis edilen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bilgileri, pazara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erlendirmeler, uygulamaya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raporu faaliyetin bitti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15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teslim edilir.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raporu ekinde;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Seyahate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gider belgelerinin,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Konaklamaya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gider belgelerinin,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olunan e-ticaret sitelerini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leten kurum/kurulu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ç</w:t>
      </w:r>
      <w:r>
        <w:rPr>
          <w:sz w:val="18"/>
          <w:szCs w:val="18"/>
        </w:rPr>
        <w:t xml:space="preserve">) E-ticaret sitelerine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yelik giderlerine dair makbuzun veya faturan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Fuarlara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mlarda, fuar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proofErr w:type="spellStart"/>
      <w:r>
        <w:rPr>
          <w:sz w:val="18"/>
          <w:szCs w:val="18"/>
        </w:rPr>
        <w:t>Stand</w:t>
      </w:r>
      <w:proofErr w:type="spellEnd"/>
      <w:r>
        <w:rPr>
          <w:sz w:val="18"/>
          <w:szCs w:val="18"/>
        </w:rPr>
        <w:t xml:space="preserve"> kiras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stand</w:t>
      </w:r>
      <w:proofErr w:type="spellEnd"/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standart </w:t>
      </w:r>
      <w:proofErr w:type="spellStart"/>
      <w:r>
        <w:rPr>
          <w:sz w:val="18"/>
          <w:szCs w:val="18"/>
        </w:rPr>
        <w:t>stand</w:t>
      </w:r>
      <w:proofErr w:type="spellEnd"/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dekorasyonu, nakliye ve depolama,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lem, nakliye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giderlere ait faturan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dilde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belgeler varsa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melerinin,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lanan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ya da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fuarlara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elektronik ortamda tutulan belgelerin,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veya </w:t>
      </w:r>
      <w:proofErr w:type="gramStart"/>
      <w:r>
        <w:rPr>
          <w:sz w:val="18"/>
          <w:szCs w:val="18"/>
        </w:rPr>
        <w:t>prototipin</w:t>
      </w:r>
      <w:proofErr w:type="gramEnd"/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bro</w:t>
      </w:r>
      <w:r>
        <w:rPr>
          <w:sz w:val="18"/>
          <w:szCs w:val="18"/>
        </w:rPr>
        <w:t>şü</w:t>
      </w:r>
      <w:r>
        <w:rPr>
          <w:sz w:val="18"/>
          <w:szCs w:val="18"/>
        </w:rPr>
        <w:t xml:space="preserve">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katalo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</w:t>
      </w:r>
      <w:proofErr w:type="spellEnd"/>
      <w:r>
        <w:rPr>
          <w:sz w:val="18"/>
          <w:szCs w:val="18"/>
        </w:rPr>
        <w:t>, etiket bask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bandroll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elektronik depolama 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giderlere ait faturalar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Destek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faaliyetleri ile ilgili harcama belgelerinin,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Fuarlara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mlarda ilgili fuar </w:t>
      </w:r>
      <w:proofErr w:type="spellStart"/>
      <w:r>
        <w:rPr>
          <w:sz w:val="18"/>
          <w:szCs w:val="18"/>
        </w:rPr>
        <w:t>katalo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</w:t>
      </w:r>
      <w:proofErr w:type="spellEnd"/>
      <w:r>
        <w:rPr>
          <w:sz w:val="18"/>
          <w:szCs w:val="18"/>
        </w:rPr>
        <w:t>,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evre </w:t>
      </w:r>
      <w:proofErr w:type="spellStart"/>
      <w:r>
        <w:rPr>
          <w:sz w:val="18"/>
          <w:szCs w:val="18"/>
        </w:rPr>
        <w:t>stand</w:t>
      </w:r>
      <w:proofErr w:type="spellEnd"/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mlerle, </w:t>
      </w:r>
      <w:proofErr w:type="spellStart"/>
      <w:r>
        <w:rPr>
          <w:sz w:val="18"/>
          <w:szCs w:val="18"/>
        </w:rPr>
        <w:t>stand</w:t>
      </w:r>
      <w:proofErr w:type="spell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ve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hir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ile birlikte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nlerden net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tarihli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asl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veya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lerek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tasdik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shalar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Fazla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demelerin iade edilmesi ve tahsili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faaliyeti sonunda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 harcama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eksik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aradaki fark en fazla 45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iade edilir.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faaliyeti sonunda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demeden arta kalan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45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idare </w:t>
      </w:r>
      <w:proofErr w:type="spellStart"/>
      <w:r>
        <w:rPr>
          <w:sz w:val="18"/>
          <w:szCs w:val="18"/>
        </w:rPr>
        <w:t>nezdindeki</w:t>
      </w:r>
      <w:proofErr w:type="spellEnd"/>
      <w:r>
        <w:rPr>
          <w:sz w:val="18"/>
          <w:szCs w:val="18"/>
        </w:rPr>
        <w:t xml:space="preserve"> teminat mektubu paraya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evrilerek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mahsup edilir, varsa kalan tutar ilgili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iade edilir.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dari yapt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pazarlama desteklerinden yararlanan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veya </w:t>
      </w:r>
      <w:proofErr w:type="gramStart"/>
      <w:r>
        <w:rPr>
          <w:sz w:val="18"/>
          <w:szCs w:val="18"/>
        </w:rPr>
        <w:t>prototip</w:t>
      </w:r>
      <w:proofErr w:type="gram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kapsamdaki giderlerle ilgili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kamu kaynakl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destekten yararlanamazlar. Bu destek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ya da </w:t>
      </w:r>
      <w:proofErr w:type="gramStart"/>
      <w:r>
        <w:rPr>
          <w:sz w:val="18"/>
          <w:szCs w:val="18"/>
        </w:rPr>
        <w:t>prototipin</w:t>
      </w:r>
      <w:proofErr w:type="gramEnd"/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pazarlanmas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kamu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ndan da yararland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edilenlerin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fesih edilerek o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takip eden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desteklerden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lmazlar.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veya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fuarlarda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destek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lanan teknolojik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ya da </w:t>
      </w:r>
      <w:proofErr w:type="gramStart"/>
      <w:r>
        <w:rPr>
          <w:sz w:val="18"/>
          <w:szCs w:val="18"/>
        </w:rPr>
        <w:t>prototipin</w:t>
      </w:r>
      <w:proofErr w:type="gramEnd"/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veya pazarlama faaliyetinin tespit edilmesi halinde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iptal edilir.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iptal edilmesi durumunda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destek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iade edilir,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 olarak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deste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iade edilmedi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durumlarda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teminat mektubu nakde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hallerde;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 ve belge ibraz etmek suretiyle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veya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 destek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Faaliyetin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teslim edilmesi gereken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raporu, gider belgeleri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belgelerin belirtilen zamanda teslim edilmemesi,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uygun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 giderlere ait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45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geri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denmemesi, 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takip ve tahsil edilir.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yetkilisi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sahte belge verildi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tespit edilmesi halinde,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duyurusunda bulunulur.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Denetim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desteklere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giderler </w:t>
      </w:r>
      <w:proofErr w:type="gramStart"/>
      <w:r>
        <w:rPr>
          <w:sz w:val="18"/>
          <w:szCs w:val="18"/>
        </w:rPr>
        <w:t>10/12/2003</w:t>
      </w:r>
      <w:proofErr w:type="gramEnd"/>
      <w:r>
        <w:rPr>
          <w:sz w:val="18"/>
          <w:szCs w:val="18"/>
        </w:rPr>
        <w:t xml:space="preserve"> tarihli ve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ve Kontrol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denetlenir.</w:t>
      </w:r>
    </w:p>
    <w:p w:rsidR="00BD1E1C" w:rsidRDefault="00BD1E1C" w:rsidP="00BD1E1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D1E1C" w:rsidRDefault="00BD1E1C" w:rsidP="00BD1E1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Elektronik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vurular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(1)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</w:t>
      </w:r>
      <w:proofErr w:type="gramStart"/>
      <w:r>
        <w:rPr>
          <w:sz w:val="18"/>
          <w:szCs w:val="18"/>
        </w:rPr>
        <w:t>31/12/2014</w:t>
      </w:r>
      <w:proofErr w:type="gramEnd"/>
      <w:r>
        <w:rPr>
          <w:sz w:val="18"/>
          <w:szCs w:val="18"/>
        </w:rPr>
        <w:t xml:space="preserve"> tarihine kadar elektronik ortamda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olan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BD1E1C" w:rsidRDefault="00BD1E1C" w:rsidP="00BD1E1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BD1E1C" w:rsidRDefault="00BD1E1C" w:rsidP="00BD1E1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Bilim, Sanayi ve Teknoloji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BD1E1C" w:rsidRDefault="00BD1E1C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BD1E1C" w:rsidSect="006276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D3E" w:rsidRDefault="004E3D3E" w:rsidP="00CE6B7C">
      <w:pPr>
        <w:spacing w:after="0" w:line="240" w:lineRule="auto"/>
      </w:pPr>
      <w:r>
        <w:separator/>
      </w:r>
    </w:p>
  </w:endnote>
  <w:endnote w:type="continuationSeparator" w:id="0">
    <w:p w:rsidR="004E3D3E" w:rsidRDefault="004E3D3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2501B">
        <w:pPr>
          <w:pStyle w:val="Altbilgi"/>
          <w:jc w:val="center"/>
        </w:pPr>
        <w:fldSimple w:instr=" PAGE   \* MERGEFORMAT ">
          <w:r w:rsidR="00BD1E1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D3E" w:rsidRDefault="004E3D3E" w:rsidP="00CE6B7C">
      <w:pPr>
        <w:spacing w:after="0" w:line="240" w:lineRule="auto"/>
      </w:pPr>
      <w:r>
        <w:separator/>
      </w:r>
    </w:p>
  </w:footnote>
  <w:footnote w:type="continuationSeparator" w:id="0">
    <w:p w:rsidR="004E3D3E" w:rsidRDefault="004E3D3E" w:rsidP="00CE6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370C9"/>
    <w:rsid w:val="00073B7C"/>
    <w:rsid w:val="000D7DBE"/>
    <w:rsid w:val="000E37F2"/>
    <w:rsid w:val="000E72F9"/>
    <w:rsid w:val="00120B8D"/>
    <w:rsid w:val="001247BF"/>
    <w:rsid w:val="0012501B"/>
    <w:rsid w:val="00152242"/>
    <w:rsid w:val="001917EB"/>
    <w:rsid w:val="0022592F"/>
    <w:rsid w:val="002950D7"/>
    <w:rsid w:val="003F0A2F"/>
    <w:rsid w:val="003F0E00"/>
    <w:rsid w:val="00411676"/>
    <w:rsid w:val="00424401"/>
    <w:rsid w:val="00471995"/>
    <w:rsid w:val="00482506"/>
    <w:rsid w:val="004C64B0"/>
    <w:rsid w:val="004E3D3E"/>
    <w:rsid w:val="006179B6"/>
    <w:rsid w:val="00627628"/>
    <w:rsid w:val="00630C78"/>
    <w:rsid w:val="006C09BF"/>
    <w:rsid w:val="007114EF"/>
    <w:rsid w:val="0072024B"/>
    <w:rsid w:val="0072766F"/>
    <w:rsid w:val="007309FF"/>
    <w:rsid w:val="007420E4"/>
    <w:rsid w:val="007708A4"/>
    <w:rsid w:val="00846A18"/>
    <w:rsid w:val="0085186D"/>
    <w:rsid w:val="00867B1E"/>
    <w:rsid w:val="0087102D"/>
    <w:rsid w:val="00893744"/>
    <w:rsid w:val="008C25B5"/>
    <w:rsid w:val="008E2DD9"/>
    <w:rsid w:val="008E6D17"/>
    <w:rsid w:val="00951485"/>
    <w:rsid w:val="00980465"/>
    <w:rsid w:val="009857E1"/>
    <w:rsid w:val="0099686A"/>
    <w:rsid w:val="00A35196"/>
    <w:rsid w:val="00AA786A"/>
    <w:rsid w:val="00AC0A86"/>
    <w:rsid w:val="00AF4CAE"/>
    <w:rsid w:val="00B159E5"/>
    <w:rsid w:val="00B9274C"/>
    <w:rsid w:val="00BC1244"/>
    <w:rsid w:val="00BD1E1C"/>
    <w:rsid w:val="00C05E0B"/>
    <w:rsid w:val="00C0738B"/>
    <w:rsid w:val="00C44A38"/>
    <w:rsid w:val="00C62ADE"/>
    <w:rsid w:val="00C86466"/>
    <w:rsid w:val="00CC7F48"/>
    <w:rsid w:val="00CD7106"/>
    <w:rsid w:val="00CE6B7C"/>
    <w:rsid w:val="00D177BA"/>
    <w:rsid w:val="00D32650"/>
    <w:rsid w:val="00D35A33"/>
    <w:rsid w:val="00D41BC0"/>
    <w:rsid w:val="00DD7D93"/>
    <w:rsid w:val="00DF3052"/>
    <w:rsid w:val="00E3660E"/>
    <w:rsid w:val="00EB1FA7"/>
    <w:rsid w:val="00F01301"/>
    <w:rsid w:val="00F83100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2478</Words>
  <Characters>14130</Characters>
  <Application>Microsoft Office Word</Application>
  <DocSecurity>0</DocSecurity>
  <Lines>117</Lines>
  <Paragraphs>33</Paragraphs>
  <ScaleCrop>false</ScaleCrop>
  <Company>TURMOB</Company>
  <LinksUpToDate>false</LinksUpToDate>
  <CharactersWithSpaces>16575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60</cp:revision>
  <cp:lastPrinted>2013-06-18T05:31:00Z</cp:lastPrinted>
  <dcterms:created xsi:type="dcterms:W3CDTF">2013-06-03T05:31:00Z</dcterms:created>
  <dcterms:modified xsi:type="dcterms:W3CDTF">2013-06-20T05:35:00Z</dcterms:modified>
</cp:coreProperties>
</file>