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17F93" w:rsidRDefault="00627628" w:rsidP="00CE6B7C">
      <w:pPr>
        <w:spacing w:after="0" w:line="280" w:lineRule="atLeast"/>
        <w:rPr>
          <w:rFonts w:ascii="Times New Roman" w:hAnsi="Times New Roman" w:cs="Times New Roman"/>
          <w:sz w:val="20"/>
          <w:szCs w:val="20"/>
        </w:rPr>
      </w:pPr>
    </w:p>
    <w:p w:rsidR="000370C9" w:rsidRPr="00C17F93" w:rsidRDefault="00887767"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FA30A2" w:rsidRPr="00C17F93">
        <w:rPr>
          <w:rFonts w:ascii="Times New Roman" w:hAnsi="Times New Roman" w:cs="Times New Roman"/>
          <w:b/>
          <w:sz w:val="20"/>
          <w:szCs w:val="20"/>
          <w:u w:val="single"/>
        </w:rPr>
        <w:t xml:space="preserve"> </w:t>
      </w:r>
      <w:r w:rsidR="000370C9" w:rsidRPr="00C17F93">
        <w:rPr>
          <w:rFonts w:ascii="Times New Roman" w:hAnsi="Times New Roman" w:cs="Times New Roman"/>
          <w:b/>
          <w:sz w:val="20"/>
          <w:szCs w:val="20"/>
          <w:u w:val="single"/>
        </w:rPr>
        <w:t xml:space="preserve">Haziran 2013, </w:t>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2950D7" w:rsidRPr="00C17F93">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28692</w:t>
      </w:r>
      <w:proofErr w:type="gramEnd"/>
    </w:p>
    <w:p w:rsidR="00887767" w:rsidRDefault="00887767" w:rsidP="00887767">
      <w:pPr>
        <w:pStyle w:val="3-NormalYaz"/>
        <w:spacing w:line="240" w:lineRule="exact"/>
        <w:rPr>
          <w:rFonts w:eastAsiaTheme="minorHAnsi" w:hAnsi="Times New Roman"/>
          <w:sz w:val="20"/>
        </w:rPr>
      </w:pPr>
    </w:p>
    <w:p w:rsidR="00FA1887" w:rsidRDefault="00FA1887" w:rsidP="00FA1887">
      <w:pPr>
        <w:pStyle w:val="3-NormalYaz"/>
        <w:spacing w:line="240" w:lineRule="exact"/>
        <w:rPr>
          <w:rFonts w:hAnsi="Times New Roman"/>
          <w:sz w:val="18"/>
          <w:szCs w:val="18"/>
          <w:u w:val="single"/>
        </w:rPr>
      </w:pPr>
      <w:r>
        <w:rPr>
          <w:rFonts w:hAnsi="Times New Roman"/>
          <w:sz w:val="18"/>
          <w:szCs w:val="18"/>
          <w:u w:val="single"/>
        </w:rPr>
        <w:t>Enerji Piyasası Düzenleme Kurumundan:</w:t>
      </w:r>
    </w:p>
    <w:p w:rsidR="00FA1887" w:rsidRDefault="00FA1887" w:rsidP="00FA1887">
      <w:pPr>
        <w:pStyle w:val="3-NormalYaz"/>
        <w:spacing w:line="240" w:lineRule="exact"/>
        <w:rPr>
          <w:rFonts w:hAnsi="Times New Roman"/>
          <w:sz w:val="18"/>
          <w:szCs w:val="18"/>
          <w:u w:val="single"/>
        </w:rPr>
      </w:pPr>
    </w:p>
    <w:p w:rsidR="00FA1887" w:rsidRDefault="00FA1887" w:rsidP="00FA1887">
      <w:pPr>
        <w:pStyle w:val="3-NormalYaz"/>
        <w:spacing w:line="240" w:lineRule="exact"/>
        <w:jc w:val="center"/>
        <w:rPr>
          <w:rFonts w:hAnsi="Times New Roman"/>
          <w:b/>
          <w:sz w:val="18"/>
          <w:szCs w:val="18"/>
        </w:rPr>
      </w:pPr>
      <w:r>
        <w:rPr>
          <w:rFonts w:hAnsi="Times New Roman"/>
          <w:b/>
          <w:sz w:val="18"/>
          <w:szCs w:val="18"/>
        </w:rPr>
        <w:t xml:space="preserve">AKARYAKIT HARİCİNDE KALAN PETROL ÜRÜNLERİNİN YURT İÇİ </w:t>
      </w:r>
    </w:p>
    <w:p w:rsidR="00FA1887" w:rsidRDefault="00FA1887" w:rsidP="00FA1887">
      <w:pPr>
        <w:pStyle w:val="3-NormalYaz"/>
        <w:spacing w:line="240" w:lineRule="exact"/>
        <w:jc w:val="center"/>
        <w:rPr>
          <w:rFonts w:hAnsi="Times New Roman"/>
          <w:b/>
          <w:sz w:val="18"/>
          <w:szCs w:val="18"/>
        </w:rPr>
      </w:pPr>
      <w:r>
        <w:rPr>
          <w:rFonts w:hAnsi="Times New Roman"/>
          <w:b/>
          <w:sz w:val="18"/>
          <w:szCs w:val="18"/>
        </w:rPr>
        <w:t xml:space="preserve">VE YURT DIŞI KAYNAKLARDAN TEMİNİNE İLİŞKİN USUL VE </w:t>
      </w:r>
    </w:p>
    <w:p w:rsidR="00FA1887" w:rsidRDefault="00FA1887" w:rsidP="00FA1887">
      <w:pPr>
        <w:pStyle w:val="3-NormalYaz"/>
        <w:spacing w:line="240" w:lineRule="exact"/>
        <w:jc w:val="center"/>
        <w:rPr>
          <w:rFonts w:hAnsi="Times New Roman"/>
          <w:b/>
          <w:sz w:val="18"/>
          <w:szCs w:val="18"/>
        </w:rPr>
      </w:pPr>
      <w:r>
        <w:rPr>
          <w:rFonts w:hAnsi="Times New Roman"/>
          <w:b/>
          <w:sz w:val="18"/>
          <w:szCs w:val="18"/>
        </w:rPr>
        <w:t xml:space="preserve">ESASLAR HAKKINDA TEBLİĞDE DEĞİŞİKLİK </w:t>
      </w:r>
    </w:p>
    <w:p w:rsidR="00FA1887" w:rsidRDefault="00FA1887" w:rsidP="00FA1887">
      <w:pPr>
        <w:pStyle w:val="3-NormalYaz"/>
        <w:spacing w:line="240" w:lineRule="exact"/>
        <w:jc w:val="center"/>
        <w:rPr>
          <w:rFonts w:hAnsi="Times New Roman"/>
          <w:b/>
          <w:sz w:val="18"/>
          <w:szCs w:val="18"/>
        </w:rPr>
      </w:pPr>
      <w:r>
        <w:rPr>
          <w:rFonts w:hAnsi="Times New Roman"/>
          <w:b/>
          <w:sz w:val="18"/>
          <w:szCs w:val="18"/>
        </w:rPr>
        <w:t>YAPILMASINA DAİR TEBLİĞ</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24/4/2013</w:t>
      </w:r>
      <w:proofErr w:type="gramEnd"/>
      <w:r>
        <w:rPr>
          <w:rFonts w:hAnsi="Times New Roman"/>
          <w:sz w:val="18"/>
          <w:szCs w:val="18"/>
        </w:rPr>
        <w:t xml:space="preserve"> tarihli ve 28627 sayılı Resmî Gazete’de yayımlanan Akaryakıt Haricinde Kalan Petrol Ürünlerinin Yurt İçi ve Yurt Dışı Kaynaklardan Teminine İlişkin Usul ve Esaslar Hakkında Tebliğin 3 üncü maddesinin birinci fıkrasının (a) bendi aşağıdaki şekilde değiştirilmiştir.</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“a) Akaryakıt haricinde kalan petrol ürünü: Bu Tebliğin Ek-1 ve Ek-2’si kapsamında yer alan maddeleri,”</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4 üncü maddesinin birinci fıkrasının ilk cümlesi ile dördüncü fıkrası aşağıdaki şekilde değiştirilmiştir.</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“Akaryakıt haricinde kalan petrol ürünlerinin, bu Tebliğin 5 inci maddesinde yer alan durumlar hariç olmak üzere, yurt içi ve yurt dışı kaynaklardan temin edilebilmesi için Kurumdan uygunluk yazısı alınması gerekir.”</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“(4) Sanayiciler, en fazla üç ithalatçıya yetki vermek suretiyle, uygunluk yazısı talebinde bulunabilirler.”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Tebliğin 5 inci maddesinin birinci fıkrası aşağıdaki şekilde değiştirilmiş ve aynı maddenin birinci fıkrasından sonra gelmek üzere aşağıdaki ikinci fıkra eklenmiş ve diğer fıkralar buna göre teselsül ettirilmiştir.</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“(1) Ek-1 kapsamındaki akaryakıt harici petrol ürünlerinin temininde, temin edilecek ürünün sevkiyat başına net 250 kilogramı aşmaması halinde uygunluk yazısı aranmaz.”</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“(2) Ek-2 kapsamındaki akaryakıt harici petrol ürünlerinin yurt içinden temininde ve azami 250 kilogram kapasiteli ambalajlar içinde ithal edilen ürünler için uygunluk yazısı aranmaz.”</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7 </w:t>
      </w:r>
      <w:proofErr w:type="spellStart"/>
      <w:r>
        <w:rPr>
          <w:rFonts w:hAnsi="Times New Roman"/>
          <w:sz w:val="18"/>
          <w:szCs w:val="18"/>
        </w:rPr>
        <w:t>nci</w:t>
      </w:r>
      <w:proofErr w:type="spellEnd"/>
      <w:r>
        <w:rPr>
          <w:rFonts w:hAnsi="Times New Roman"/>
          <w:sz w:val="18"/>
          <w:szCs w:val="18"/>
        </w:rPr>
        <w:t xml:space="preserve"> maddesinin birinci fıkrasının (ç) bendi aşağıdaki şekilde değiştirilmiştir.</w:t>
      </w:r>
    </w:p>
    <w:p w:rsidR="00FA1887" w:rsidRDefault="00FA1887" w:rsidP="00FA1887">
      <w:pPr>
        <w:pStyle w:val="3-NormalYaz"/>
        <w:spacing w:line="240" w:lineRule="exact"/>
        <w:ind w:firstLine="566"/>
        <w:rPr>
          <w:rFonts w:hAnsi="Times New Roman"/>
          <w:sz w:val="18"/>
          <w:szCs w:val="18"/>
        </w:rPr>
      </w:pPr>
      <w:r>
        <w:rPr>
          <w:rFonts w:hAnsi="Times New Roman"/>
          <w:sz w:val="18"/>
          <w:szCs w:val="18"/>
        </w:rPr>
        <w:t>“ç) Kapasite raporunu düzenleyen sanayi odasından son altı ay içerisinde alınmış teyit yazısı (Ek- 4),”</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Tebliğin 14 üncü maddesi aşağıdaki şekilde değiştirilmiştir.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Ek-1’de gümrük tarife istatistik pozisyonu ve tanımı verilen ürünleri yurt içinde üreten kişiler, bu ürünlere ilişkin olarak yaptıkları satışları, ayın 15’ine kadarki dönem için ay sonuna, ayın 15’inden sonuna kadarki dönem için takip eden ayın 15’ine kadar Kuruma bildirmekle yükümlüdür. Bildirimler; alıcının unvanı, uygunluk yazısı tarih ve sayısı, fatura tarih ve sayısı, ürün adı, ürün Gümrük Tarife İstatistik Pozisyonu, satış miktarı yer alacak şekilde Ek-8’deki tablo kullanılarak yapılır.”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Tebliğin 15 inci maddesi aşağıdaki şekilde değiştirilmiştir.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(1) Bu Tebliğ </w:t>
      </w:r>
      <w:proofErr w:type="gramStart"/>
      <w:r>
        <w:rPr>
          <w:rFonts w:hAnsi="Times New Roman"/>
          <w:sz w:val="18"/>
          <w:szCs w:val="18"/>
        </w:rPr>
        <w:t>1/1/2014</w:t>
      </w:r>
      <w:proofErr w:type="gramEnd"/>
      <w:r>
        <w:rPr>
          <w:rFonts w:hAnsi="Times New Roman"/>
          <w:sz w:val="18"/>
          <w:szCs w:val="18"/>
        </w:rPr>
        <w:t xml:space="preserve"> tarihinde yürürlüğe girer.”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Tebliğin Ekleri, bu Tebliğin ekinde yer alan Eklerle değiştirilmiştir.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Bu Tebliğ yayımı tarihinde yürürlüğe girer.</w:t>
      </w:r>
    </w:p>
    <w:p w:rsidR="00FA1887" w:rsidRDefault="00FA1887" w:rsidP="00FA1887">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Bu Tebliğ hükümlerini Enerji Piyasası Düzenleme Kurulu Başkanı yürütür.</w:t>
      </w:r>
    </w:p>
    <w:p w:rsidR="00FA1887" w:rsidRDefault="00FA1887" w:rsidP="00FA1887">
      <w:pPr>
        <w:pStyle w:val="3-NormalYaz"/>
        <w:spacing w:line="240" w:lineRule="exact"/>
        <w:jc w:val="center"/>
        <w:rPr>
          <w:rStyle w:val="Normal1"/>
          <w:rFonts w:eastAsia="ヒラギノ明朝Pro W3"/>
          <w:sz w:val="18"/>
          <w:lang w:val="tr-TR"/>
        </w:rPr>
      </w:pPr>
    </w:p>
    <w:p w:rsidR="00FA1887" w:rsidRDefault="00FA1887" w:rsidP="00FA1887">
      <w:pPr>
        <w:pStyle w:val="3-NormalYaz"/>
        <w:spacing w:line="240" w:lineRule="exact"/>
        <w:jc w:val="center"/>
        <w:rPr>
          <w:rStyle w:val="Normal1"/>
          <w:rFonts w:eastAsia="ヒラギノ明朝Pro W3"/>
          <w:sz w:val="18"/>
          <w:szCs w:val="18"/>
          <w:lang w:val="tr-TR"/>
        </w:rPr>
      </w:pPr>
    </w:p>
    <w:p w:rsidR="00FA1887" w:rsidRDefault="00FA1887" w:rsidP="00FA1887">
      <w:pPr>
        <w:pStyle w:val="3-NormalYaz"/>
        <w:spacing w:line="240" w:lineRule="exact"/>
        <w:jc w:val="left"/>
        <w:rPr>
          <w:rStyle w:val="Normal1"/>
          <w:rFonts w:eastAsia="ヒラギノ明朝Pro W3"/>
          <w:b/>
          <w:bCs/>
          <w:sz w:val="18"/>
          <w:szCs w:val="18"/>
          <w:lang w:val="tr-TR"/>
        </w:rPr>
      </w:pPr>
      <w:hyperlink r:id="rId7" w:history="1">
        <w:r>
          <w:rPr>
            <w:rStyle w:val="Kpr"/>
            <w:rFonts w:eastAsia="ヒラギノ明朝Pro W3" w:hAnsi="Times New Roman"/>
            <w:b/>
            <w:bCs/>
            <w:sz w:val="18"/>
            <w:szCs w:val="18"/>
          </w:rPr>
          <w:t>Ekleri için tıklayınız.</w:t>
        </w:r>
      </w:hyperlink>
    </w:p>
    <w:p w:rsidR="00FA1887" w:rsidRDefault="00FA1887" w:rsidP="00887767">
      <w:pPr>
        <w:pStyle w:val="3-NormalYaz"/>
        <w:spacing w:line="240" w:lineRule="exact"/>
        <w:rPr>
          <w:rFonts w:eastAsiaTheme="minorHAnsi" w:hAnsi="Times New Roman"/>
          <w:sz w:val="20"/>
        </w:rPr>
      </w:pPr>
    </w:p>
    <w:sectPr w:rsidR="00FA1887"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66" w:rsidRDefault="00622266" w:rsidP="00CE6B7C">
      <w:pPr>
        <w:spacing w:after="0" w:line="240" w:lineRule="auto"/>
      </w:pPr>
      <w:r>
        <w:separator/>
      </w:r>
    </w:p>
  </w:endnote>
  <w:endnote w:type="continuationSeparator" w:id="0">
    <w:p w:rsidR="00622266" w:rsidRDefault="0062226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00282">
        <w:pPr>
          <w:pStyle w:val="Altbilgi"/>
          <w:jc w:val="center"/>
        </w:pPr>
        <w:fldSimple w:instr=" PAGE   \* MERGEFORMAT ">
          <w:r w:rsidR="00FA188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66" w:rsidRDefault="00622266" w:rsidP="00CE6B7C">
      <w:pPr>
        <w:spacing w:after="0" w:line="240" w:lineRule="auto"/>
      </w:pPr>
      <w:r>
        <w:separator/>
      </w:r>
    </w:p>
  </w:footnote>
  <w:footnote w:type="continuationSeparator" w:id="0">
    <w:p w:rsidR="00622266" w:rsidRDefault="0062226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211F4F"/>
    <w:rsid w:val="0022592F"/>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C09BF"/>
    <w:rsid w:val="007114EF"/>
    <w:rsid w:val="0072024B"/>
    <w:rsid w:val="0072766F"/>
    <w:rsid w:val="007309FF"/>
    <w:rsid w:val="007420E4"/>
    <w:rsid w:val="007708A4"/>
    <w:rsid w:val="007D4F0A"/>
    <w:rsid w:val="008332C5"/>
    <w:rsid w:val="00843669"/>
    <w:rsid w:val="00846A18"/>
    <w:rsid w:val="0085186D"/>
    <w:rsid w:val="00867B1E"/>
    <w:rsid w:val="0087102D"/>
    <w:rsid w:val="00887767"/>
    <w:rsid w:val="00893744"/>
    <w:rsid w:val="008C25B5"/>
    <w:rsid w:val="008D6AFF"/>
    <w:rsid w:val="008E2DD9"/>
    <w:rsid w:val="008E6D17"/>
    <w:rsid w:val="00904273"/>
    <w:rsid w:val="00941744"/>
    <w:rsid w:val="00951485"/>
    <w:rsid w:val="00980465"/>
    <w:rsid w:val="009857E1"/>
    <w:rsid w:val="0099686A"/>
    <w:rsid w:val="00A02020"/>
    <w:rsid w:val="00A35196"/>
    <w:rsid w:val="00A379EB"/>
    <w:rsid w:val="00AA786A"/>
    <w:rsid w:val="00AC0A86"/>
    <w:rsid w:val="00AF4CAE"/>
    <w:rsid w:val="00B159E5"/>
    <w:rsid w:val="00B9274C"/>
    <w:rsid w:val="00BA2DE9"/>
    <w:rsid w:val="00BC1244"/>
    <w:rsid w:val="00BC1C79"/>
    <w:rsid w:val="00BD1E1C"/>
    <w:rsid w:val="00C05E0B"/>
    <w:rsid w:val="00C0738B"/>
    <w:rsid w:val="00C107EE"/>
    <w:rsid w:val="00C17F93"/>
    <w:rsid w:val="00C2055D"/>
    <w:rsid w:val="00C44A38"/>
    <w:rsid w:val="00C62ADE"/>
    <w:rsid w:val="00C86466"/>
    <w:rsid w:val="00C9401D"/>
    <w:rsid w:val="00CC7F48"/>
    <w:rsid w:val="00CD0DD0"/>
    <w:rsid w:val="00CD7106"/>
    <w:rsid w:val="00CE6B7C"/>
    <w:rsid w:val="00D177BA"/>
    <w:rsid w:val="00D32650"/>
    <w:rsid w:val="00D35A33"/>
    <w:rsid w:val="00D41BC0"/>
    <w:rsid w:val="00DA5C28"/>
    <w:rsid w:val="00DD7D93"/>
    <w:rsid w:val="00DF3052"/>
    <w:rsid w:val="00E00282"/>
    <w:rsid w:val="00E3660E"/>
    <w:rsid w:val="00E43E56"/>
    <w:rsid w:val="00E96B82"/>
    <w:rsid w:val="00EB1FA7"/>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6/20130629-7-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440</Words>
  <Characters>2509</Characters>
  <Application>Microsoft Office Word</Application>
  <DocSecurity>0</DocSecurity>
  <Lines>20</Lines>
  <Paragraphs>5</Paragraphs>
  <ScaleCrop>false</ScaleCrop>
  <Company>TURMOB</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82</cp:revision>
  <cp:lastPrinted>2013-06-18T05:31:00Z</cp:lastPrinted>
  <dcterms:created xsi:type="dcterms:W3CDTF">2013-06-03T05:31:00Z</dcterms:created>
  <dcterms:modified xsi:type="dcterms:W3CDTF">2013-07-01T05:40:00Z</dcterms:modified>
</cp:coreProperties>
</file>