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921D9E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921D9E" w:rsidRDefault="00802E28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01 temmuz 2013,</w:t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28694</w:t>
      </w:r>
      <w:proofErr w:type="gramEnd"/>
    </w:p>
    <w:p w:rsidR="00887767" w:rsidRDefault="00887767" w:rsidP="00887767">
      <w:pPr>
        <w:pStyle w:val="3-NormalYaz"/>
        <w:spacing w:line="240" w:lineRule="exact"/>
        <w:rPr>
          <w:rFonts w:eastAsiaTheme="minorHAnsi" w:hAnsi="Times New Roman"/>
          <w:sz w:val="20"/>
        </w:rPr>
      </w:pPr>
    </w:p>
    <w:p w:rsidR="00802E28" w:rsidRDefault="00802E28" w:rsidP="00802E28">
      <w:pPr>
        <w:pStyle w:val="1-Baslk"/>
        <w:spacing w:line="240" w:lineRule="exact"/>
        <w:rPr>
          <w:rFonts w:hAnsi="Times New Roman"/>
          <w:sz w:val="18"/>
          <w:szCs w:val="18"/>
        </w:rPr>
      </w:pPr>
    </w:p>
    <w:p w:rsidR="00802E28" w:rsidRPr="00802E28" w:rsidRDefault="00802E28" w:rsidP="00802E28">
      <w:pPr>
        <w:pStyle w:val="1-Baslk"/>
        <w:spacing w:line="240" w:lineRule="exact"/>
        <w:rPr>
          <w:rFonts w:hAnsi="Times New Roman"/>
          <w:b/>
          <w:sz w:val="18"/>
          <w:szCs w:val="18"/>
          <w:u w:val="none"/>
        </w:rPr>
      </w:pPr>
      <w:r w:rsidRPr="00802E28">
        <w:rPr>
          <w:rFonts w:hAnsi="Times New Roman"/>
          <w:b/>
          <w:sz w:val="18"/>
          <w:szCs w:val="18"/>
          <w:u w:val="none"/>
        </w:rPr>
        <w:t>Gümrük ve Ticaret Bakanlığından:</w:t>
      </w:r>
    </w:p>
    <w:p w:rsidR="00802E28" w:rsidRDefault="00802E28" w:rsidP="00802E28">
      <w:pPr>
        <w:pStyle w:val="1-Baslk"/>
        <w:spacing w:line="240" w:lineRule="exact"/>
        <w:rPr>
          <w:rFonts w:hAnsi="Times New Roman"/>
          <w:sz w:val="18"/>
          <w:szCs w:val="18"/>
        </w:rPr>
      </w:pPr>
    </w:p>
    <w:p w:rsidR="00802E28" w:rsidRDefault="00802E28" w:rsidP="00802E2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SEBZE VE MEYVE TİCARETİ VE TOPTANCI HALLERİ HAKKINDA</w:t>
      </w:r>
    </w:p>
    <w:p w:rsidR="00802E28" w:rsidRDefault="00802E28" w:rsidP="00802E2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YÖNETMELİKTE DEĞİŞİKLİK YAPILMASINA</w:t>
      </w:r>
    </w:p>
    <w:p w:rsidR="00802E28" w:rsidRDefault="00802E28" w:rsidP="00802E2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İLİŞKİN YÖNETMELİK</w:t>
      </w:r>
    </w:p>
    <w:p w:rsidR="00802E28" w:rsidRDefault="00802E28" w:rsidP="00802E28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802E28" w:rsidRDefault="00802E28" w:rsidP="00802E2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7/7/2012</w:t>
      </w:r>
      <w:proofErr w:type="gramEnd"/>
      <w:r>
        <w:rPr>
          <w:sz w:val="18"/>
          <w:szCs w:val="18"/>
        </w:rPr>
        <w:t xml:space="preserve"> tarihli ve 28346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Sebze ve Meyve Ticareti ve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belirtilenlerin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laboratuarlar 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Bu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hallerinde,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zorunlu olan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laboratuvarlar</w:t>
      </w:r>
      <w:proofErr w:type="spellEnd"/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29 uncu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bendinde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yine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kiralama veya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 talebinde bulunanlar,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tutulan ilgili sistemlere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belge/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belgesi/ilgili meslek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 ve 31 inci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belediye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lehine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teminatlar ile gayri kabili </w:t>
      </w:r>
      <w:proofErr w:type="spellStart"/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</w:t>
      </w:r>
      <w:proofErr w:type="spellEnd"/>
      <w:r>
        <w:rPr>
          <w:sz w:val="18"/>
          <w:szCs w:val="18"/>
        </w:rPr>
        <w:t xml:space="preserve"> yetki belgesi ile birlikte ilgili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</w:t>
      </w:r>
      <w:r>
        <w:rPr>
          <w:sz w:val="18"/>
          <w:szCs w:val="18"/>
        </w:rPr>
        <w:t>”</w:t>
      </w:r>
      <w:proofErr w:type="gramEnd"/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zaruri halin belgelendirilmesine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ilgili meslek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ibareleri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(5)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sterenler, mal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kselmesine sebebiyet vermemek veya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mesine engel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kendi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mal alabilir, satabilir veya devredebilir. Ancak, bu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devirler, piyasa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 da genel olarak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Vadeli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larda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otuz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41 inci maddesinin on dokuzuncu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(19)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reticilerin,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rettikleri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perakende olarak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keticilere satmas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bu mallar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bildirimde bulunulmaz.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yerdeki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belediye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mallardan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sumu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Bakanlar Kurulunca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45 inci maddesinin birinci, ikinci,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hesaplarda tutulacak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bildirilen banka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hesaplar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belediye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sumu,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banka nezdinde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hesaba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Start"/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ellisi,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yerdeki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belediye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bildirilen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kalan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ellisi ise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yerdeki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belediye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bildirilen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izleyen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 ilgili banka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sumunun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yerdeki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belediye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bildirilen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izleyen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 ilgili banka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sumunun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yerdeki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belediye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bildirilen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izleyen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 ilgili banka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(4)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hem 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sumunun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izleyen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belediyelerin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geneli o ayki toplam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 gelirindeki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bu belediyeler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bildirilen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ilgili banka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Bildirim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belli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nedenlerle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lamayan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belirlenememesi durumunda ise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sumunun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bildirime konu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faaliyet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retilmesi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izleyen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 ilgili belediyeye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Sisteme bildirilmeden toptan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 da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bildirimde bulunup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toptan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c)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kendi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mal alan, satan veya devredenlerin,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maddesinin on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melerde, noter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otuz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yirmi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yirmi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1/7/2013</w:t>
      </w:r>
      <w:proofErr w:type="gram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31/12/2013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(31)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belediye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cavir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olup da,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hususunda ihtilaf bulunan yerlerden, toptan sebze ve meyve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otuz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olanlar,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kaca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gerek kalmaks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sisteme kaydedilir.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yirmi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bendinin sonuna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lamayan hal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ise,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lamayanlar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genelinde bu bende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tahsil edilen toplam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 gelirindeki toptanc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belediyelerin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ilgili hesaplara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ekinde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EK-1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EK-2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EK-3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ekleri, ekte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EK-1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EK-2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EK-3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ekleri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802E28" w:rsidRDefault="00802E28" w:rsidP="00802E2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802E28" w:rsidRDefault="00802E28" w:rsidP="00802E28">
      <w:pPr>
        <w:pStyle w:val="3-NormalYaz"/>
        <w:spacing w:line="240" w:lineRule="exact"/>
        <w:jc w:val="center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802E2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802E2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802E2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7/7/2012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28346</w:t>
            </w:r>
          </w:p>
        </w:tc>
      </w:tr>
      <w:tr w:rsidR="00802E2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netmelikte De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 Yapan 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802E2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802E2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31/12/2012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28" w:rsidRDefault="00802E28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28514 (4.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kerrer)</w:t>
            </w:r>
          </w:p>
        </w:tc>
      </w:tr>
    </w:tbl>
    <w:p w:rsidR="00802E28" w:rsidRDefault="00802E28" w:rsidP="00802E28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802E28" w:rsidRDefault="00802E28" w:rsidP="00802E28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802E28" w:rsidRDefault="00802E28" w:rsidP="00802E28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Ekleri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z.</w:t>
        </w:r>
      </w:hyperlink>
    </w:p>
    <w:p w:rsidR="00802E28" w:rsidRPr="00921D9E" w:rsidRDefault="00802E28" w:rsidP="00887767">
      <w:pPr>
        <w:pStyle w:val="3-NormalYaz"/>
        <w:spacing w:line="240" w:lineRule="exact"/>
        <w:rPr>
          <w:rFonts w:eastAsiaTheme="minorHAnsi" w:hAnsi="Times New Roman"/>
          <w:sz w:val="20"/>
        </w:rPr>
      </w:pPr>
    </w:p>
    <w:sectPr w:rsidR="00802E28" w:rsidRPr="00921D9E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286" w:rsidRDefault="00AC4286" w:rsidP="00CE6B7C">
      <w:pPr>
        <w:spacing w:after="0" w:line="240" w:lineRule="auto"/>
      </w:pPr>
      <w:r>
        <w:separator/>
      </w:r>
    </w:p>
  </w:endnote>
  <w:endnote w:type="continuationSeparator" w:id="0">
    <w:p w:rsidR="00AC4286" w:rsidRDefault="00AC428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B21EA">
        <w:pPr>
          <w:pStyle w:val="Altbilgi"/>
          <w:jc w:val="center"/>
        </w:pPr>
        <w:fldSimple w:instr=" PAGE   \* MERGEFORMAT ">
          <w:r w:rsidR="00802E2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286" w:rsidRDefault="00AC4286" w:rsidP="00CE6B7C">
      <w:pPr>
        <w:spacing w:after="0" w:line="240" w:lineRule="auto"/>
      </w:pPr>
      <w:r>
        <w:separator/>
      </w:r>
    </w:p>
  </w:footnote>
  <w:footnote w:type="continuationSeparator" w:id="0">
    <w:p w:rsidR="00AC4286" w:rsidRDefault="00AC428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652E"/>
    <w:rsid w:val="001B1871"/>
    <w:rsid w:val="00211F4F"/>
    <w:rsid w:val="0022592F"/>
    <w:rsid w:val="002950D7"/>
    <w:rsid w:val="003320DC"/>
    <w:rsid w:val="003F0A2F"/>
    <w:rsid w:val="003F0E00"/>
    <w:rsid w:val="00411676"/>
    <w:rsid w:val="00424401"/>
    <w:rsid w:val="00471995"/>
    <w:rsid w:val="00482506"/>
    <w:rsid w:val="004A47BB"/>
    <w:rsid w:val="004B600A"/>
    <w:rsid w:val="004C5729"/>
    <w:rsid w:val="004C64B0"/>
    <w:rsid w:val="004E3D3E"/>
    <w:rsid w:val="005B27B7"/>
    <w:rsid w:val="006179B6"/>
    <w:rsid w:val="00622266"/>
    <w:rsid w:val="00627628"/>
    <w:rsid w:val="00630C78"/>
    <w:rsid w:val="006312D4"/>
    <w:rsid w:val="006C09BF"/>
    <w:rsid w:val="007114EF"/>
    <w:rsid w:val="0072024B"/>
    <w:rsid w:val="0072766F"/>
    <w:rsid w:val="007309FF"/>
    <w:rsid w:val="007420E4"/>
    <w:rsid w:val="007708A4"/>
    <w:rsid w:val="007D4F0A"/>
    <w:rsid w:val="00802E28"/>
    <w:rsid w:val="008332C5"/>
    <w:rsid w:val="00843669"/>
    <w:rsid w:val="00846A18"/>
    <w:rsid w:val="0085186D"/>
    <w:rsid w:val="00867B1E"/>
    <w:rsid w:val="0087102D"/>
    <w:rsid w:val="00887767"/>
    <w:rsid w:val="00893744"/>
    <w:rsid w:val="008C25B5"/>
    <w:rsid w:val="008D6AFF"/>
    <w:rsid w:val="008E2DD9"/>
    <w:rsid w:val="008E6D17"/>
    <w:rsid w:val="00904273"/>
    <w:rsid w:val="00921D9E"/>
    <w:rsid w:val="00941744"/>
    <w:rsid w:val="00951485"/>
    <w:rsid w:val="00980465"/>
    <w:rsid w:val="009857E1"/>
    <w:rsid w:val="0099686A"/>
    <w:rsid w:val="009D64C8"/>
    <w:rsid w:val="00A02020"/>
    <w:rsid w:val="00A35196"/>
    <w:rsid w:val="00A379EB"/>
    <w:rsid w:val="00AA786A"/>
    <w:rsid w:val="00AB21EA"/>
    <w:rsid w:val="00AC0A86"/>
    <w:rsid w:val="00AC4286"/>
    <w:rsid w:val="00AF4CAE"/>
    <w:rsid w:val="00B159E5"/>
    <w:rsid w:val="00B9274C"/>
    <w:rsid w:val="00BA2DE9"/>
    <w:rsid w:val="00BC1244"/>
    <w:rsid w:val="00BC1C79"/>
    <w:rsid w:val="00BD1E1C"/>
    <w:rsid w:val="00C05E0B"/>
    <w:rsid w:val="00C0738B"/>
    <w:rsid w:val="00C107EE"/>
    <w:rsid w:val="00C17F93"/>
    <w:rsid w:val="00C2055D"/>
    <w:rsid w:val="00C44A38"/>
    <w:rsid w:val="00C62ADE"/>
    <w:rsid w:val="00C67988"/>
    <w:rsid w:val="00C86466"/>
    <w:rsid w:val="00C9401D"/>
    <w:rsid w:val="00CC7F48"/>
    <w:rsid w:val="00CD0DD0"/>
    <w:rsid w:val="00CD7106"/>
    <w:rsid w:val="00CE6B7C"/>
    <w:rsid w:val="00D177BA"/>
    <w:rsid w:val="00D32650"/>
    <w:rsid w:val="00D35A33"/>
    <w:rsid w:val="00D41BC0"/>
    <w:rsid w:val="00DA5C28"/>
    <w:rsid w:val="00DD7D93"/>
    <w:rsid w:val="00DF3052"/>
    <w:rsid w:val="00E00282"/>
    <w:rsid w:val="00E3660E"/>
    <w:rsid w:val="00E43E56"/>
    <w:rsid w:val="00E96B82"/>
    <w:rsid w:val="00EB1FA7"/>
    <w:rsid w:val="00F01301"/>
    <w:rsid w:val="00F83100"/>
    <w:rsid w:val="00FA1887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7/20130701-6-1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1158</Words>
  <Characters>6606</Characters>
  <Application>Microsoft Office Word</Application>
  <DocSecurity>0</DocSecurity>
  <Lines>55</Lines>
  <Paragraphs>15</Paragraphs>
  <ScaleCrop>false</ScaleCrop>
  <Company>TURMOB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86</cp:revision>
  <cp:lastPrinted>2013-06-18T05:31:00Z</cp:lastPrinted>
  <dcterms:created xsi:type="dcterms:W3CDTF">2013-06-03T05:31:00Z</dcterms:created>
  <dcterms:modified xsi:type="dcterms:W3CDTF">2013-07-01T05:49:00Z</dcterms:modified>
</cp:coreProperties>
</file>