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667BFC" w:rsidRDefault="00627628" w:rsidP="006B04AF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667BFC" w:rsidRDefault="00B65BBB" w:rsidP="006B04AF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195C8D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9A0CB4">
        <w:rPr>
          <w:rFonts w:ascii="Times New Roman" w:hAnsi="Times New Roman" w:cs="Times New Roman"/>
          <w:b/>
          <w:sz w:val="20"/>
          <w:szCs w:val="20"/>
          <w:u w:val="single"/>
        </w:rPr>
        <w:t xml:space="preserve"> T</w:t>
      </w:r>
      <w:r w:rsidR="00802E28" w:rsidRPr="00667BFC">
        <w:rPr>
          <w:rFonts w:ascii="Times New Roman" w:hAnsi="Times New Roman" w:cs="Times New Roman"/>
          <w:b/>
          <w:sz w:val="20"/>
          <w:szCs w:val="20"/>
          <w:u w:val="single"/>
        </w:rPr>
        <w:t>emmuz 2013,</w:t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95C8D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 w:rsidR="00195C8D">
        <w:rPr>
          <w:rFonts w:ascii="Times New Roman" w:hAnsi="Times New Roman" w:cs="Times New Roman"/>
          <w:b/>
          <w:sz w:val="20"/>
          <w:szCs w:val="20"/>
          <w:u w:val="single"/>
        </w:rPr>
        <w:t>Sayı : 28704</w:t>
      </w:r>
      <w:proofErr w:type="gramEnd"/>
    </w:p>
    <w:p w:rsidR="00887767" w:rsidRDefault="00887767" w:rsidP="006B04AF">
      <w:pPr>
        <w:pStyle w:val="3-NormalYaz"/>
        <w:spacing w:line="280" w:lineRule="atLeast"/>
        <w:rPr>
          <w:rFonts w:eastAsiaTheme="minorHAnsi" w:hAnsi="Times New Roman"/>
          <w:sz w:val="20"/>
        </w:rPr>
      </w:pPr>
    </w:p>
    <w:p w:rsidR="00195C8D" w:rsidRDefault="00195C8D" w:rsidP="00195C8D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nden:</w:t>
      </w:r>
    </w:p>
    <w:p w:rsidR="00195C8D" w:rsidRDefault="00195C8D" w:rsidP="00195C8D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LAYICILARININ</w:t>
      </w:r>
    </w:p>
    <w:p w:rsidR="00195C8D" w:rsidRDefault="00195C8D" w:rsidP="00195C8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SERT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F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KALANDIRILMALARINA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195C8D" w:rsidRDefault="00195C8D" w:rsidP="00195C8D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(SHY-SEYR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SEFER)</w:t>
      </w:r>
    </w:p>
    <w:p w:rsidR="00195C8D" w:rsidRDefault="00195C8D" w:rsidP="00195C8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195C8D" w:rsidRDefault="00195C8D" w:rsidP="00195C8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hava sahas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hava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hava trafi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emniyetli, verimli,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ve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hizmet veren sivil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temel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mleri, sertifikasyonu ve denetimine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1 inci maddede belirtilen hizmetlerin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tirilmesinde taraf olan;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Denizcilik ve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veya ilgili mevzuat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ATS, AIS ve CNS hizmeti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yetkisi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kapsar</w:t>
      </w:r>
      <w:proofErr w:type="gramEnd"/>
      <w:r>
        <w:rPr>
          <w:sz w:val="18"/>
          <w:szCs w:val="18"/>
        </w:rPr>
        <w:t>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netmelik;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gramStart"/>
      <w:r>
        <w:rPr>
          <w:sz w:val="18"/>
          <w:szCs w:val="18"/>
        </w:rPr>
        <w:t>10/11/2005</w:t>
      </w:r>
      <w:proofErr w:type="gramEnd"/>
      <w:r>
        <w:rPr>
          <w:sz w:val="18"/>
          <w:szCs w:val="18"/>
        </w:rPr>
        <w:t xml:space="preserve"> tarihli ve 5431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Kanunun 10 uncu maddesi ile 14/10/1983 tarihli ve 2920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Kanununa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hizmetlerinin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ortak gerekliliklere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proofErr w:type="gramStart"/>
      <w:r>
        <w:rPr>
          <w:sz w:val="18"/>
          <w:szCs w:val="18"/>
        </w:rPr>
        <w:t>17/10/2011</w:t>
      </w:r>
      <w:proofErr w:type="gramEnd"/>
      <w:r>
        <w:rPr>
          <w:sz w:val="18"/>
          <w:szCs w:val="18"/>
        </w:rPr>
        <w:t xml:space="preserve"> tarihli ve 1035/2011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Avrupa Komisyonu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paralel olarak,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>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 ve 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saltmalar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AIS: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bilgi hizmetlerini,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ATM: Hava trafik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netimini,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ATS: Hava trafik hizmetlerini,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Bakan: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Denizcilik ve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CEN: Avrupa Standartlar Komitesini,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CNS: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me,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man 8973: </w:t>
      </w:r>
      <w:proofErr w:type="spellStart"/>
      <w:r>
        <w:rPr>
          <w:sz w:val="18"/>
          <w:szCs w:val="18"/>
        </w:rPr>
        <w:t>ICAO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nun</w:t>
      </w:r>
      <w:proofErr w:type="spellEnd"/>
      <w:r>
        <w:rPr>
          <w:sz w:val="18"/>
          <w:szCs w:val="18"/>
        </w:rPr>
        <w:t xml:space="preserve">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man</w:t>
      </w:r>
      <w:r>
        <w:rPr>
          <w:sz w:val="18"/>
          <w:szCs w:val="18"/>
        </w:rPr>
        <w:t>ü</w:t>
      </w:r>
      <w:r>
        <w:rPr>
          <w:sz w:val="18"/>
          <w:szCs w:val="18"/>
        </w:rPr>
        <w:t>elini,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ECAC: Avrupa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Konferans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ECAC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 30: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konusundaki ECAC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ESARR: EUROCONTROL Emniyet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zenleyici Gereksinimlerini,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EUROCONTROL: Avrupa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Emniyeti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EYS: Emniyet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Sistemini,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k: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GYS: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Sistemini,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Hizmetleri: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hava sahas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emniyetli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 hareketini </w:t>
      </w:r>
      <w:proofErr w:type="spellStart"/>
      <w:r>
        <w:rPr>
          <w:sz w:val="18"/>
          <w:szCs w:val="18"/>
        </w:rPr>
        <w:t>teminen</w:t>
      </w:r>
      <w:proofErr w:type="spellEnd"/>
      <w:r>
        <w:rPr>
          <w:sz w:val="18"/>
          <w:szCs w:val="18"/>
        </w:rPr>
        <w:t xml:space="preserve"> verilen CNS, ATS ve AIS gibi hizmetlerin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istenen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layan bir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EK-2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bulunan ve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onaylanarak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verilen belgeyi,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n)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: Hizmet verdikleri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 ile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Denizcilik ve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veya ilgili mevzuat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AIS ve/veya ATS ve/veya CNS hizmeti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yetkisi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o) ISO: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 Organizasyonunu,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) ICAO: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p) KYS: Kalite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Sistemini,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r) Olay: Kaza ile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lanmayan, ancak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emniyetini etkileyen veya etkileme ihtimali bulunan,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lmakta olan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sisteminde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anan bir kesinti, eksiklik veya bozukluk ile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operasyonu ve hava trafik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hizmetlerinin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olaylar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ola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s) TSE: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 </w:t>
      </w:r>
      <w:proofErr w:type="spellStart"/>
      <w:r>
        <w:rPr>
          <w:sz w:val="18"/>
          <w:szCs w:val="18"/>
        </w:rPr>
        <w:t>Standardlar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Enstit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belirtilmeyen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lkemizin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ICAO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manlarda belirtilen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erlidir.</w:t>
      </w:r>
    </w:p>
    <w:p w:rsidR="00195C8D" w:rsidRDefault="00195C8D" w:rsidP="00195C8D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195C8D" w:rsidRDefault="00195C8D" w:rsidP="00195C8D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Genel Esaslar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Hizmet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lama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lkemizde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hizmetleri, 2920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Kanunu ve 5431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Kanunda belirlenen esaslar ile ICAO ve </w:t>
      </w:r>
      <w:proofErr w:type="spellStart"/>
      <w:r>
        <w:rPr>
          <w:sz w:val="18"/>
          <w:szCs w:val="18"/>
        </w:rPr>
        <w:t>Eurocontrol</w:t>
      </w:r>
      <w:proofErr w:type="spellEnd"/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belirlenip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kabul edilen standartlara uygun olarak ve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verilecek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  <w:proofErr w:type="gramEnd"/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Asgari gereklilikler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hizmetlerinin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sertifikaland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lemlerinde, </w:t>
      </w:r>
      <w:proofErr w:type="gramStart"/>
      <w:r>
        <w:rPr>
          <w:sz w:val="18"/>
          <w:szCs w:val="18"/>
        </w:rPr>
        <w:t>5/6/1945</w:t>
      </w:r>
      <w:proofErr w:type="gramEnd"/>
      <w:r>
        <w:rPr>
          <w:sz w:val="18"/>
          <w:szCs w:val="18"/>
        </w:rPr>
        <w:t xml:space="preserve"> tarihli ve 4749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Kanunla onaylanan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kurulan ICAO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Eklerin ve bu eklere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son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belirlenen standart ve tavsiyeler, ECAC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 30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da belirtilen standartlar ve </w:t>
      </w:r>
      <w:proofErr w:type="spellStart"/>
      <w:r>
        <w:rPr>
          <w:sz w:val="18"/>
          <w:szCs w:val="18"/>
        </w:rPr>
        <w:t>Eurocontrol</w:t>
      </w:r>
      <w:proofErr w:type="spellEnd"/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proofErr w:type="spellStart"/>
      <w:r>
        <w:rPr>
          <w:sz w:val="18"/>
          <w:szCs w:val="18"/>
        </w:rPr>
        <w:t>ESARR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lara</w:t>
      </w:r>
      <w:proofErr w:type="spellEnd"/>
      <w:r>
        <w:rPr>
          <w:sz w:val="18"/>
          <w:szCs w:val="18"/>
        </w:rPr>
        <w:t xml:space="preserve"> uyumlu olarak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ulusal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mlerince belirlenen kriterler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Hava seyr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sefer hizmet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lama sertifikas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gereklili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bilgi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lgeleri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layan AIS, ATS ve CNS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lamakta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hizmetler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yeterliliklerinin teyidi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belgelendirilirler.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Hava seyr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sefer hizmet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lama sertifikas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verilmesi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yer alan 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takdirde yapacaklar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Ek 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sertifika ile sertifikaland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yapacak olan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ortak gereklilikleri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Teknik ve </w:t>
      </w:r>
      <w:proofErr w:type="spellStart"/>
      <w:r>
        <w:rPr>
          <w:sz w:val="18"/>
          <w:szCs w:val="18"/>
        </w:rPr>
        <w:t>Operasyonel</w:t>
      </w:r>
      <w:proofErr w:type="spellEnd"/>
      <w:r>
        <w:rPr>
          <w:sz w:val="18"/>
          <w:szCs w:val="18"/>
        </w:rPr>
        <w:t xml:space="preserve"> yeterlilik ve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Kalite ve Emniyet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sistemler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Raporlama sistemi.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Finansal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Yeterli personel planlamas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insan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Ortak gereklilikleri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inde yer alan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Formunu doldurarak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yapar.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hizmetlerin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beher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birimleri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toplu olarak sertifikasyon talebinde bulunabilir.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Birden fazla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tesis edilen sistemin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nsel bir yakla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m izlemesi, meydan </w:t>
      </w:r>
      <w:proofErr w:type="gramStart"/>
      <w:r>
        <w:rPr>
          <w:sz w:val="18"/>
          <w:szCs w:val="18"/>
        </w:rPr>
        <w:t>bazl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engel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 etmez.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olan denetimler ile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uyum durumu teyit edilir. Uygun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Bakan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Sertifikasyon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in gereklilikler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ATS, AIS ve CNS Hizmeti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alabilmeleri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belirtilen 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gerekmektedir.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 verdikleri alana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uymak zorunda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gereklilikler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belirlenerek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bildirilir ve elektronik ortamda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resmi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ilan edilir.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alacak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un da, </w:t>
      </w:r>
      <w:proofErr w:type="spellStart"/>
      <w:r>
        <w:rPr>
          <w:sz w:val="18"/>
          <w:szCs w:val="18"/>
        </w:rPr>
        <w:t>Eurocontrol</w:t>
      </w:r>
      <w:proofErr w:type="spellEnd"/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nlanan ESARR 1, 2, 3, 4, 5 ve 6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 uyum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ulusal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riayet etmesi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11 inci madde ile getirilen muafiyetler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tam uyum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gerekmektedir.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ikliklerin bildirilmesi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</w:t>
      </w:r>
      <w:proofErr w:type="spellStart"/>
      <w:r>
        <w:rPr>
          <w:sz w:val="18"/>
          <w:szCs w:val="18"/>
        </w:rPr>
        <w:t>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serfer</w:t>
      </w:r>
      <w:proofErr w:type="spellEnd"/>
      <w:r>
        <w:rPr>
          <w:sz w:val="18"/>
          <w:szCs w:val="18"/>
        </w:rPr>
        <w:t xml:space="preserve">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;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verilmesi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birimlerin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muhtemel yeni sistemler, mevcut sistemlere getirilecek olan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iklikler ve uygulanan </w:t>
      </w:r>
      <w:proofErr w:type="spellStart"/>
      <w:r>
        <w:rPr>
          <w:sz w:val="18"/>
          <w:szCs w:val="18"/>
        </w:rPr>
        <w:t>operasyonel</w:t>
      </w:r>
      <w:proofErr w:type="spellEnd"/>
      <w:r>
        <w:rPr>
          <w:sz w:val="18"/>
          <w:szCs w:val="18"/>
        </w:rPr>
        <w:t xml:space="preserve"> ve teknik kurallarda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iklikler hususunda </w:t>
      </w:r>
      <w:proofErr w:type="gramStart"/>
      <w:r>
        <w:rPr>
          <w:sz w:val="18"/>
          <w:szCs w:val="18"/>
        </w:rPr>
        <w:t>27/4/2011</w:t>
      </w:r>
      <w:proofErr w:type="gramEnd"/>
      <w:r>
        <w:rPr>
          <w:sz w:val="18"/>
          <w:szCs w:val="18"/>
        </w:rPr>
        <w:t xml:space="preserve"> tarihli ve 27917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Hava Trafik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netiminde Emniyet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(SHY-G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M)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 10 uncu maddesindeki gerekliliklere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bulunur.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Muafiyetler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Sertifikasyon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muafiyetler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yabilir.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yle bir durumda,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muafiyetler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lmesi durumunda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lkemizin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kilatlara raporlanabilir.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 verdikleri alana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gereklilikleri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hususunda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yer alanlar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herhangi bir muafiyet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namaz.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Hava seyr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sefer hizmet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lama sertifikas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taleplerini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 komisyonu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talepleri,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teklifi ve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personelinden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ve iki yedek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komisyonunca incelenir.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komisyonun asli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yesidir.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 ile yedek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I. Hukuk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ilir.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Komisyonun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veya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hallerde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birisi veya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komisyona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eder.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Komisyonun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Komisyona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ye, yeniden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ilebilir.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Komisyon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yelerinden birinin herhangi bir sebeple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yenin yerine, kalan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reyi tamamlamak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ilk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rada yer alan yedek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 komisyon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yelerden birinin veya birden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yedek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yeler, bulunmayan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 yerini liste onay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Komisyona ilgili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almak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oy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temsilciler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Komisyon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esas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r; her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yenin bir oy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r;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ekimser oy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Komisyon,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taleplerini, ilgili ulusal ve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mevzuatta belirtilen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tespit etmek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yerinde yapaca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denetimi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60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Komisyon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sonunda talebi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rse,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verilir.</w:t>
      </w:r>
    </w:p>
    <w:p w:rsidR="00195C8D" w:rsidRDefault="00195C8D" w:rsidP="00195C8D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195C8D" w:rsidRDefault="00195C8D" w:rsidP="00195C8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Sorumluluklar ve Uyumun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Sorumluluklar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faaliyetlerini 2920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Kanunu, 5431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ile ICAO, ECAC ve </w:t>
      </w:r>
      <w:proofErr w:type="spellStart"/>
      <w:r>
        <w:rPr>
          <w:sz w:val="18"/>
          <w:szCs w:val="18"/>
        </w:rPr>
        <w:t>Eurocontrol</w:t>
      </w:r>
      <w:proofErr w:type="spellEnd"/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tedbiri almak hususunda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sorumludur.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hizmetlerinin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lmesini </w:t>
      </w:r>
      <w:proofErr w:type="spellStart"/>
      <w:r>
        <w:rPr>
          <w:sz w:val="18"/>
          <w:szCs w:val="18"/>
        </w:rPr>
        <w:t>teminen</w:t>
      </w:r>
      <w:proofErr w:type="spellEnd"/>
      <w:r>
        <w:rPr>
          <w:sz w:val="18"/>
          <w:szCs w:val="18"/>
        </w:rPr>
        <w:t xml:space="preserve">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tedbiri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hizmetlerinin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operasyon el kitab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talimatlar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belirtilen 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bir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denetim mekanizmas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mekanizman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leyi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ine dair </w:t>
      </w:r>
      <w:proofErr w:type="gramStart"/>
      <w:r>
        <w:rPr>
          <w:sz w:val="18"/>
          <w:szCs w:val="18"/>
        </w:rPr>
        <w:t>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proofErr w:type="gramEnd"/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Uyumun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zetimi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ulusal ve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mevzuatta yer alan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zenlemelere riayet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zetir. Bu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la,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merkez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veya yetkilendirdi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haberli veya habersiz denetlenir.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ilgili birimine,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denetimler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en fazla 2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mez.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rmesi durumunda sertifikaland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uyum durumunu takip etmek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bu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tan raporlar isteyebilir.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veya yetkilendirdi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tiren haberli ya da habersiz denetlemeleri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racak tedbirleri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yerine getirme yetkisine sahip olacakt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hizmetlerinin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verileri, </w:t>
      </w:r>
      <w:proofErr w:type="gramStart"/>
      <w:r>
        <w:rPr>
          <w:sz w:val="18"/>
          <w:szCs w:val="18"/>
        </w:rPr>
        <w:t>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</w:t>
      </w:r>
      <w:proofErr w:type="gramEnd"/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materyali incelemek.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b)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tlardan, verilerden, </w:t>
      </w:r>
      <w:proofErr w:type="gramStart"/>
      <w:r>
        <w:rPr>
          <w:sz w:val="18"/>
          <w:szCs w:val="18"/>
        </w:rPr>
        <w:t>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rlerden</w:t>
      </w:r>
      <w:proofErr w:type="gramEnd"/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materyallerden kopyalar veya suretler almak.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Denetleme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 istemek.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tesislere girmek ve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kullanmak.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(6)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denetimlerde, 2920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Kanunu ile 5431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ve bu kanunlara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netmelikler ile ICAO, ECAC ve </w:t>
      </w:r>
      <w:proofErr w:type="spellStart"/>
      <w:r>
        <w:rPr>
          <w:sz w:val="18"/>
          <w:szCs w:val="18"/>
        </w:rPr>
        <w:t>Eurocontrol</w:t>
      </w:r>
      <w:proofErr w:type="spellEnd"/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tespit edilen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klar,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sertifikasyonunu etkiler nitelikte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eksikli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faaliyet ve buna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faaliyetlerin devam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hususu 12 inci maddede belirtilen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komisyonunca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</w:t>
      </w:r>
      <w:proofErr w:type="gramEnd"/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(7)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denetimlerde, 2920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Kanunu ile 5431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ve bu kanunlara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netmelikler ile ICAO, ECAC ve </w:t>
      </w:r>
      <w:proofErr w:type="spellStart"/>
      <w:r>
        <w:rPr>
          <w:sz w:val="18"/>
          <w:szCs w:val="18"/>
        </w:rPr>
        <w:t>Eurocontrol</w:t>
      </w:r>
      <w:proofErr w:type="spellEnd"/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tespit edilen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klar, kusur ve eksiklikler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maddede belirtilen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komisyonunun incelemesine gerek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lmemesi halinde,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bildirilir ve bu eksikliklerin giderilmesi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yeterli bir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 verilerek bu eksikliklerin giderilmesi istenir. </w:t>
      </w:r>
      <w:proofErr w:type="gramEnd"/>
      <w:r>
        <w:rPr>
          <w:sz w:val="18"/>
          <w:szCs w:val="18"/>
        </w:rPr>
        <w:t>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verilen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eksiklikleri gidererek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bilgi vermek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195C8D" w:rsidRDefault="00195C8D" w:rsidP="00195C8D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sefer Hizmetleri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in 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Teknik ve </w:t>
      </w:r>
      <w:proofErr w:type="spellStart"/>
      <w:r>
        <w:rPr>
          <w:b/>
          <w:sz w:val="18"/>
          <w:szCs w:val="18"/>
        </w:rPr>
        <w:t>operasyonel</w:t>
      </w:r>
      <w:proofErr w:type="spellEnd"/>
      <w:r>
        <w:rPr>
          <w:b/>
          <w:sz w:val="18"/>
          <w:szCs w:val="18"/>
        </w:rPr>
        <w:t xml:space="preserve"> yeterlilik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hizmetlerin emniyetli,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venli, verimli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lebilir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yerine getirilebilmesi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yeterli teknik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levsel kapasite ve uzmanl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sahip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lanan hizmetin devaml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etkinli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ve emniyetini destekleyen bir organizasyon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Organizasyonun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;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Atanm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netici personel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emniyet,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venlik, kalite, finans ve insan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konusundaki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 personelin yetkilerini,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ve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Organizasyonun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 ve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birimleri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raporlama hatt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kisini, 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>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en az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periyodu kapsayacak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;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hedef ve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sistemleri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sistemlerin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ile ilgili uzun vadeli planlar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stratejisini,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Maliyet etkinli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emniyet ve hizmet seviyesi ve kalite a</w:t>
      </w:r>
      <w:r>
        <w:rPr>
          <w:sz w:val="18"/>
          <w:szCs w:val="18"/>
        </w:rPr>
        <w:t>çışı</w:t>
      </w:r>
      <w:r>
        <w:rPr>
          <w:sz w:val="18"/>
          <w:szCs w:val="18"/>
        </w:rPr>
        <w:t>ndan uygun performans hedeflerini,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ermelidir</w:t>
      </w:r>
      <w:proofErr w:type="gramEnd"/>
      <w:r>
        <w:rPr>
          <w:sz w:val="18"/>
          <w:szCs w:val="18"/>
        </w:rPr>
        <w:t>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gelecek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zelliklerini ve meydana gelebilecek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bir plan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rlanacak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plan, finansal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malarda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gibi tahmin edilen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gecikmeleri, emniyet ve kapasitenin seviyeleri ve verilen hizmetin kalite ve seviyesini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ca;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Hizmetin kalitesinin ve seviyesinin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tirilmesine 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bulunulaca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dair beyanat ve yeni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imlerin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bilgileri,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Hizmet kalitesi ve seviyesinin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erlendirilebilmesi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performans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stergeleri,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finansal durum beklentisi,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etkileri ya da herhangi bir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durumunun olas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etkileri gibi konular</w:t>
      </w:r>
      <w:r>
        <w:rPr>
          <w:sz w:val="18"/>
          <w:szCs w:val="18"/>
        </w:rPr>
        <w:t>ı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kapsamal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>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Emniyet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netimi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alacak olan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hizmetlerin emniyet seviyelerini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bir Emniyet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Sistemi (EYS) kurmal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verilen hizmetlerin emniyetini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etkileyebilecek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payda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larla resmi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kurmal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proofErr w:type="spellStart"/>
      <w:r>
        <w:rPr>
          <w:sz w:val="18"/>
          <w:szCs w:val="18"/>
        </w:rPr>
        <w:t>EYS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emniyet risklerinin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azalt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undan emin olunmal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Kalite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netimi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alacak olan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u, TSE, ISO veya CEN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bir kalite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sistemi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 bunu muhafaza etmesi ve sertifika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 tamamlayabilmesi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bunu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belgelemesi gereklidir.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Operasyonel</w:t>
      </w:r>
      <w:proofErr w:type="spellEnd"/>
      <w:r>
        <w:rPr>
          <w:b/>
          <w:sz w:val="18"/>
          <w:szCs w:val="18"/>
        </w:rPr>
        <w:t xml:space="preserve"> ve teknik el kitaplar</w:t>
      </w:r>
      <w:r>
        <w:rPr>
          <w:b/>
          <w:sz w:val="18"/>
          <w:szCs w:val="18"/>
        </w:rPr>
        <w:t>ı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operasyonel</w:t>
      </w:r>
      <w:proofErr w:type="spellEnd"/>
      <w:r>
        <w:rPr>
          <w:sz w:val="18"/>
          <w:szCs w:val="18"/>
        </w:rPr>
        <w:t xml:space="preserve"> ve teknik personelin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personele rehberlik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hizmetlerin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proofErr w:type="spellStart"/>
      <w:r>
        <w:rPr>
          <w:sz w:val="18"/>
          <w:szCs w:val="18"/>
        </w:rPr>
        <w:t>operasyonel</w:t>
      </w:r>
      <w:proofErr w:type="spellEnd"/>
      <w:r>
        <w:rPr>
          <w:sz w:val="18"/>
          <w:szCs w:val="18"/>
        </w:rPr>
        <w:t xml:space="preserve"> ve teknik el kitaplar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rlar,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yapar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(2) </w:t>
      </w:r>
      <w:proofErr w:type="spellStart"/>
      <w:r>
        <w:rPr>
          <w:sz w:val="18"/>
          <w:szCs w:val="18"/>
        </w:rPr>
        <w:t>Operasyonel</w:t>
      </w:r>
      <w:proofErr w:type="spellEnd"/>
      <w:r>
        <w:rPr>
          <w:sz w:val="18"/>
          <w:szCs w:val="18"/>
        </w:rPr>
        <w:t xml:space="preserve"> ve teknik el kitaplar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talimatlar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operasyonel</w:t>
      </w:r>
      <w:proofErr w:type="spellEnd"/>
      <w:r>
        <w:rPr>
          <w:sz w:val="18"/>
          <w:szCs w:val="18"/>
        </w:rPr>
        <w:t xml:space="preserve"> ve teknik personelin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revini yerine getirmesi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olan bilgileri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proofErr w:type="spellStart"/>
      <w:r>
        <w:rPr>
          <w:sz w:val="18"/>
          <w:szCs w:val="18"/>
        </w:rPr>
        <w:t>Operasyonel</w:t>
      </w:r>
      <w:proofErr w:type="spellEnd"/>
      <w:r>
        <w:rPr>
          <w:sz w:val="18"/>
          <w:szCs w:val="18"/>
        </w:rPr>
        <w:t xml:space="preserve"> ve teknik el kitab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ilgili personeller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ilebilir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ek kitab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 ilgili personele bilgi verecek bir sisteme sahip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veya revize edilen el kitaplar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sureti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venlik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alacak olan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lanan hizmetlere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personel, tesis ve </w:t>
      </w:r>
      <w:proofErr w:type="spellStart"/>
      <w:r>
        <w:rPr>
          <w:sz w:val="18"/>
          <w:szCs w:val="18"/>
        </w:rPr>
        <w:t>operasyonel</w:t>
      </w:r>
      <w:proofErr w:type="spellEnd"/>
      <w:r>
        <w:rPr>
          <w:sz w:val="18"/>
          <w:szCs w:val="18"/>
        </w:rPr>
        <w:t xml:space="preserve"> verilere izinsiz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dahaleleri engellemek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bir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sistemi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tesis edilecek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Sistemi (GYS);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ve azaltmas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izleme,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irme ve edinilen tecr</w:t>
      </w:r>
      <w:r>
        <w:rPr>
          <w:sz w:val="18"/>
          <w:szCs w:val="18"/>
        </w:rPr>
        <w:t>ü</w:t>
      </w:r>
      <w:r>
        <w:rPr>
          <w:sz w:val="18"/>
          <w:szCs w:val="18"/>
        </w:rPr>
        <w:t>benin payla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usulleri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GYS,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ihlallerinin tespit edilmesi ve ilgili personeli uygun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ikazlar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harekete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irecek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GYS,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ihlallerinin etkilerini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erlendirerek ihlallerin tekrar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zeltici eylemler belirleyecek bir sistem kurmal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GYS ve ilgili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nlemleri, ICAO EK-17 ile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 8973, ECAC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 30 ve Milli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son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belirtilen standartlarda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nsan kaynaklar</w:t>
      </w:r>
      <w:r>
        <w:rPr>
          <w:b/>
          <w:sz w:val="18"/>
          <w:szCs w:val="18"/>
        </w:rPr>
        <w:t>ı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alacak olan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lanan hizmetlerin emniyetli, verimli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lebilir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teminen</w:t>
      </w:r>
      <w:proofErr w:type="spellEnd"/>
      <w:r>
        <w:rPr>
          <w:sz w:val="18"/>
          <w:szCs w:val="18"/>
        </w:rPr>
        <w:t xml:space="preserve"> uygun nitelikte personel istihdam etmekten ve personel istihdam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politikalar belirlemekten sorumludur.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Finansal g</w:t>
      </w:r>
      <w:r>
        <w:rPr>
          <w:b/>
          <w:sz w:val="18"/>
          <w:szCs w:val="18"/>
        </w:rPr>
        <w:t>üç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sermaye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maliyetleri, operasyonun sabit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ken maliyetleri gibi finansal zorunluluklar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layabilmelidir ve bunun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uygun bir maliyet hesaplama sistemi kullanmal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gereklilikleri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denetlemeler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ispat etmek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Say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tay,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Millet Meclisi 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 Komisyonu ve benzeri kurumlar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tabi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denetimler,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zerine,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gereklilikleri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lamada uygun bir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olarak kabul edilebilir.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Acil durum plan</w:t>
      </w:r>
      <w:r>
        <w:rPr>
          <w:b/>
          <w:sz w:val="18"/>
          <w:szCs w:val="18"/>
        </w:rPr>
        <w:t>ı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sertifikasyon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erisinde, hizmetin kesilmesi, hizmetin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veya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gibi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durumlara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bir acil durum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Emniyet olaylar</w:t>
      </w:r>
      <w:r>
        <w:rPr>
          <w:b/>
          <w:sz w:val="18"/>
          <w:szCs w:val="18"/>
        </w:rPr>
        <w:t>ı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hizmetin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 emniyet olaylar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takibi ve raporlanmas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bir sistem kurmak ve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 olaylar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30/1/2007</w:t>
      </w:r>
      <w:proofErr w:type="gramEnd"/>
      <w:r>
        <w:rPr>
          <w:sz w:val="18"/>
          <w:szCs w:val="18"/>
        </w:rPr>
        <w:t xml:space="preserve"> tarihli ve 26419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Hava Trafik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Hizmetleri ile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Emniyet Olaylar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Rapor Edilmesi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erlendirilmesine Dair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(SHY 65-02)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raporlanmalar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sorumludur.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raporlaman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etkinli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ve verimlili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garanti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almak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ilgili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personele gerekli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personeli bilgilendirmelidir.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Raporlama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sahibi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;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tmekte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faaliyetlere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raporlar sunar.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sunulan raporlar;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lanmakta olunan hizmetlerin kalite, emniyet ve performans seviyelerine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erlendirmeyi, operasyon ve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plan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paralelli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hedeflerden sapmalar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nedenlerini, finansal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operasyon ve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 ve insan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politikas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bilgiyi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ermelidir.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lk rapor sunumundan itibaren en fazla 1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sonra bir sonraki rapor sunulmal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raporlar en fazla 1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sonra sunulmal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Yang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nla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cadele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sunulan hizmetin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 </w:t>
      </w:r>
      <w:proofErr w:type="spellStart"/>
      <w:r>
        <w:rPr>
          <w:sz w:val="18"/>
          <w:szCs w:val="18"/>
        </w:rPr>
        <w:t>teminen</w:t>
      </w:r>
      <w:proofErr w:type="spellEnd"/>
      <w:r>
        <w:rPr>
          <w:sz w:val="18"/>
          <w:szCs w:val="18"/>
        </w:rPr>
        <w:t xml:space="preserve"> ICAO Ek-14 ve bu Ek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son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istenen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uygun olarak gerekli tesis, </w:t>
      </w:r>
      <w:proofErr w:type="gramStart"/>
      <w:r>
        <w:rPr>
          <w:sz w:val="18"/>
          <w:szCs w:val="18"/>
        </w:rPr>
        <w:t>ekipman</w:t>
      </w:r>
      <w:proofErr w:type="gramEnd"/>
      <w:r>
        <w:rPr>
          <w:sz w:val="18"/>
          <w:szCs w:val="18"/>
        </w:rPr>
        <w:t>, personel ve bunlara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cadele 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rlerinin mevcudiyetini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195C8D" w:rsidRDefault="00195C8D" w:rsidP="00195C8D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195C8D" w:rsidRDefault="00195C8D" w:rsidP="00195C8D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 xml:space="preserve">netmelikte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len 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zenlemeler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un,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teminen</w:t>
      </w:r>
      <w:proofErr w:type="spellEnd"/>
      <w:r>
        <w:rPr>
          <w:sz w:val="18"/>
          <w:szCs w:val="18"/>
        </w:rPr>
        <w:t xml:space="preserve"> gerekli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tamamlayarak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gerekmektedir.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Teknik 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zenlemeler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yer almayan veya istisnai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 arz eden teknik konular ile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belirtilen konularda ICAO, </w:t>
      </w:r>
      <w:proofErr w:type="spellStart"/>
      <w:r>
        <w:rPr>
          <w:sz w:val="18"/>
          <w:szCs w:val="18"/>
        </w:rPr>
        <w:t>Eurocontrol</w:t>
      </w:r>
      <w:proofErr w:type="spellEnd"/>
      <w:r>
        <w:rPr>
          <w:sz w:val="18"/>
          <w:szCs w:val="18"/>
        </w:rPr>
        <w:t xml:space="preserve"> veya Avrupa Komisyonu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El Kitab</w:t>
      </w:r>
      <w:r>
        <w:rPr>
          <w:b/>
          <w:sz w:val="18"/>
          <w:szCs w:val="18"/>
        </w:rPr>
        <w:t>ı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Ek-3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yer alan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bir el kitab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Yapt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hususlara uymayan Hava Seyr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sefer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2920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Kanununun 143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195C8D" w:rsidRDefault="00195C8D" w:rsidP="00195C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195C8D" w:rsidRDefault="00195C8D" w:rsidP="00195C8D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195C8D" w:rsidRDefault="00195C8D" w:rsidP="00195C8D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Y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netmeli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 xml:space="preserve">in Ekleri (EK-1, EK-2, EK-3) </w:t>
        </w:r>
      </w:hyperlink>
    </w:p>
    <w:p w:rsidR="00195C8D" w:rsidRDefault="00195C8D" w:rsidP="006B04AF">
      <w:pPr>
        <w:pStyle w:val="3-NormalYaz"/>
        <w:spacing w:line="280" w:lineRule="atLeast"/>
        <w:rPr>
          <w:rFonts w:eastAsiaTheme="minorHAnsi" w:hAnsi="Times New Roman"/>
          <w:sz w:val="20"/>
        </w:rPr>
      </w:pPr>
    </w:p>
    <w:sectPr w:rsidR="00195C8D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345" w:rsidRDefault="00C82345" w:rsidP="00CE6B7C">
      <w:pPr>
        <w:spacing w:after="0" w:line="240" w:lineRule="auto"/>
      </w:pPr>
      <w:r>
        <w:separator/>
      </w:r>
    </w:p>
  </w:endnote>
  <w:endnote w:type="continuationSeparator" w:id="0">
    <w:p w:rsidR="00C82345" w:rsidRDefault="00C82345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654433">
        <w:pPr>
          <w:pStyle w:val="Altbilgi"/>
          <w:jc w:val="center"/>
        </w:pPr>
        <w:fldSimple w:instr=" PAGE   \* MERGEFORMAT ">
          <w:r w:rsidR="00195C8D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345" w:rsidRDefault="00C82345" w:rsidP="00CE6B7C">
      <w:pPr>
        <w:spacing w:after="0" w:line="240" w:lineRule="auto"/>
      </w:pPr>
      <w:r>
        <w:separator/>
      </w:r>
    </w:p>
  </w:footnote>
  <w:footnote w:type="continuationSeparator" w:id="0">
    <w:p w:rsidR="00C82345" w:rsidRDefault="00C82345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370C9"/>
    <w:rsid w:val="00073B7C"/>
    <w:rsid w:val="000B4DEA"/>
    <w:rsid w:val="000D7DBE"/>
    <w:rsid w:val="000E37F2"/>
    <w:rsid w:val="000E72F9"/>
    <w:rsid w:val="00120B8D"/>
    <w:rsid w:val="001247BF"/>
    <w:rsid w:val="0012501B"/>
    <w:rsid w:val="00152242"/>
    <w:rsid w:val="00187B66"/>
    <w:rsid w:val="001917EB"/>
    <w:rsid w:val="00193767"/>
    <w:rsid w:val="00195C8D"/>
    <w:rsid w:val="0019652E"/>
    <w:rsid w:val="001B1871"/>
    <w:rsid w:val="001B789E"/>
    <w:rsid w:val="001F76B8"/>
    <w:rsid w:val="00211F4F"/>
    <w:rsid w:val="0022592F"/>
    <w:rsid w:val="00231ECE"/>
    <w:rsid w:val="002411CD"/>
    <w:rsid w:val="00280E2B"/>
    <w:rsid w:val="002950D7"/>
    <w:rsid w:val="0031216B"/>
    <w:rsid w:val="003320DC"/>
    <w:rsid w:val="003364E7"/>
    <w:rsid w:val="00347531"/>
    <w:rsid w:val="003F0A2F"/>
    <w:rsid w:val="003F0E00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E3D3E"/>
    <w:rsid w:val="00500FD6"/>
    <w:rsid w:val="00516E98"/>
    <w:rsid w:val="00527A1F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54433"/>
    <w:rsid w:val="00667BFC"/>
    <w:rsid w:val="006B04AF"/>
    <w:rsid w:val="006C09BF"/>
    <w:rsid w:val="007114EF"/>
    <w:rsid w:val="0072024B"/>
    <w:rsid w:val="0072766F"/>
    <w:rsid w:val="007309FF"/>
    <w:rsid w:val="007420E4"/>
    <w:rsid w:val="00765CA5"/>
    <w:rsid w:val="007708A4"/>
    <w:rsid w:val="007835EC"/>
    <w:rsid w:val="007C55B8"/>
    <w:rsid w:val="007D4F0A"/>
    <w:rsid w:val="00802E28"/>
    <w:rsid w:val="008332C5"/>
    <w:rsid w:val="00843669"/>
    <w:rsid w:val="00846A18"/>
    <w:rsid w:val="0085186D"/>
    <w:rsid w:val="00867B1E"/>
    <w:rsid w:val="0087102D"/>
    <w:rsid w:val="00887767"/>
    <w:rsid w:val="00893744"/>
    <w:rsid w:val="008B6984"/>
    <w:rsid w:val="008C25B5"/>
    <w:rsid w:val="008D6AFF"/>
    <w:rsid w:val="008E2DD9"/>
    <w:rsid w:val="008E6D17"/>
    <w:rsid w:val="0090323C"/>
    <w:rsid w:val="00904273"/>
    <w:rsid w:val="00915BF0"/>
    <w:rsid w:val="00921D9E"/>
    <w:rsid w:val="00941744"/>
    <w:rsid w:val="00951485"/>
    <w:rsid w:val="00980465"/>
    <w:rsid w:val="009857E1"/>
    <w:rsid w:val="0099686A"/>
    <w:rsid w:val="009A0CB4"/>
    <w:rsid w:val="009D64C8"/>
    <w:rsid w:val="00A02020"/>
    <w:rsid w:val="00A35196"/>
    <w:rsid w:val="00A379EB"/>
    <w:rsid w:val="00AA786A"/>
    <w:rsid w:val="00AB21EA"/>
    <w:rsid w:val="00AC0A86"/>
    <w:rsid w:val="00AC4286"/>
    <w:rsid w:val="00AF4CAE"/>
    <w:rsid w:val="00B159E5"/>
    <w:rsid w:val="00B27AEA"/>
    <w:rsid w:val="00B65BBB"/>
    <w:rsid w:val="00B9274C"/>
    <w:rsid w:val="00BA2DE9"/>
    <w:rsid w:val="00BA3089"/>
    <w:rsid w:val="00BC1244"/>
    <w:rsid w:val="00BC1C79"/>
    <w:rsid w:val="00BD1E1C"/>
    <w:rsid w:val="00C05E0B"/>
    <w:rsid w:val="00C0738B"/>
    <w:rsid w:val="00C107EE"/>
    <w:rsid w:val="00C17F93"/>
    <w:rsid w:val="00C2055D"/>
    <w:rsid w:val="00C44A38"/>
    <w:rsid w:val="00C62ADE"/>
    <w:rsid w:val="00C67988"/>
    <w:rsid w:val="00C67A24"/>
    <w:rsid w:val="00C82345"/>
    <w:rsid w:val="00C86466"/>
    <w:rsid w:val="00C9401D"/>
    <w:rsid w:val="00CC6F0B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930A9"/>
    <w:rsid w:val="00DA5C28"/>
    <w:rsid w:val="00DD7D93"/>
    <w:rsid w:val="00DF3052"/>
    <w:rsid w:val="00E00282"/>
    <w:rsid w:val="00E3660E"/>
    <w:rsid w:val="00E43E56"/>
    <w:rsid w:val="00E96B82"/>
    <w:rsid w:val="00EB1FA7"/>
    <w:rsid w:val="00EF57AA"/>
    <w:rsid w:val="00F01301"/>
    <w:rsid w:val="00F83100"/>
    <w:rsid w:val="00FA1887"/>
    <w:rsid w:val="00FA30A2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7/20130711-11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3398</Words>
  <Characters>19369</Characters>
  <Application>Microsoft Office Word</Application>
  <DocSecurity>0</DocSecurity>
  <Lines>161</Lines>
  <Paragraphs>45</Paragraphs>
  <ScaleCrop>false</ScaleCrop>
  <Company>TURMOB</Company>
  <LinksUpToDate>false</LinksUpToDate>
  <CharactersWithSpaces>22722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112</cp:revision>
  <cp:lastPrinted>2013-06-18T05:31:00Z</cp:lastPrinted>
  <dcterms:created xsi:type="dcterms:W3CDTF">2013-06-03T05:31:00Z</dcterms:created>
  <dcterms:modified xsi:type="dcterms:W3CDTF">2013-07-11T05:24:00Z</dcterms:modified>
</cp:coreProperties>
</file>